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6462F3" w14:textId="77777777" w:rsidR="00543772" w:rsidRDefault="00543772" w:rsidP="00C25825"/>
    <w:p w14:paraId="29626045" w14:textId="77777777" w:rsidR="00543772" w:rsidRDefault="00543772" w:rsidP="00C25825"/>
    <w:p w14:paraId="53F2E865" w14:textId="7F34D87E" w:rsidR="00543772" w:rsidRPr="0077482B" w:rsidRDefault="00055524" w:rsidP="00C25825">
      <w:pPr>
        <w:jc w:val="center"/>
        <w:rPr>
          <w:i/>
          <w:iCs/>
          <w:sz w:val="32"/>
          <w:szCs w:val="36"/>
        </w:rPr>
      </w:pPr>
      <w:r w:rsidRPr="0077482B">
        <w:rPr>
          <w:i/>
          <w:iCs/>
          <w:sz w:val="32"/>
          <w:szCs w:val="36"/>
        </w:rPr>
        <w:t>Supporting information fo</w:t>
      </w:r>
      <w:r w:rsidR="00543772" w:rsidRPr="0077482B">
        <w:rPr>
          <w:i/>
          <w:iCs/>
          <w:sz w:val="32"/>
          <w:szCs w:val="36"/>
        </w:rPr>
        <w:t>r</w:t>
      </w:r>
    </w:p>
    <w:p w14:paraId="28CA5504" w14:textId="77777777" w:rsidR="00543772" w:rsidRPr="00C25825" w:rsidRDefault="00543772" w:rsidP="00C25825">
      <w:pPr>
        <w:pStyle w:val="Title"/>
        <w:jc w:val="center"/>
      </w:pPr>
      <w:r w:rsidRPr="00C25825">
        <w:t>The Intersection of Total and Wildland Fire-Attributed PM2.5 Exposure Disparities in the United States</w:t>
      </w:r>
    </w:p>
    <w:p w14:paraId="752C4AA0" w14:textId="77777777" w:rsidR="00543772" w:rsidRPr="003F3316" w:rsidRDefault="00543772" w:rsidP="00543772">
      <w:pPr>
        <w:suppressLineNumbers/>
      </w:pPr>
    </w:p>
    <w:p w14:paraId="3F37C39A" w14:textId="77777777" w:rsidR="00543772" w:rsidRDefault="00543772" w:rsidP="00543772">
      <w:pPr>
        <w:suppressLineNumbers/>
        <w:spacing w:line="240" w:lineRule="auto"/>
        <w:jc w:val="center"/>
        <w:rPr>
          <w:i/>
          <w:iCs/>
          <w:vertAlign w:val="superscript"/>
        </w:rPr>
      </w:pPr>
      <w:r w:rsidRPr="00CC1AD9">
        <w:rPr>
          <w:i/>
          <w:iCs/>
        </w:rPr>
        <w:t xml:space="preserve">R. Byron </w:t>
      </w:r>
      <w:proofErr w:type="spellStart"/>
      <w:r w:rsidRPr="00CC1AD9">
        <w:rPr>
          <w:i/>
          <w:iCs/>
        </w:rPr>
        <w:t>Rice</w:t>
      </w:r>
      <w:r w:rsidRPr="00CC1AD9">
        <w:rPr>
          <w:i/>
          <w:iCs/>
          <w:vertAlign w:val="superscript"/>
        </w:rPr>
        <w:t>ab</w:t>
      </w:r>
      <w:proofErr w:type="spellEnd"/>
      <w:r w:rsidRPr="00CC1AD9">
        <w:rPr>
          <w:i/>
          <w:iCs/>
        </w:rPr>
        <w:t xml:space="preserve">, Jason D. </w:t>
      </w:r>
      <w:proofErr w:type="spellStart"/>
      <w:r w:rsidRPr="00CC1AD9">
        <w:rPr>
          <w:i/>
          <w:iCs/>
        </w:rPr>
        <w:t>Sacks</w:t>
      </w:r>
      <w:r w:rsidRPr="00CC1AD9">
        <w:rPr>
          <w:i/>
          <w:iCs/>
          <w:vertAlign w:val="superscript"/>
        </w:rPr>
        <w:t>a</w:t>
      </w:r>
      <w:proofErr w:type="spellEnd"/>
      <w:r w:rsidRPr="00CC1AD9">
        <w:rPr>
          <w:i/>
          <w:iCs/>
        </w:rPr>
        <w:t xml:space="preserve">, Kirk R. </w:t>
      </w:r>
      <w:proofErr w:type="spellStart"/>
      <w:r w:rsidRPr="00CC1AD9">
        <w:rPr>
          <w:i/>
          <w:iCs/>
        </w:rPr>
        <w:t>Baker</w:t>
      </w:r>
      <w:r w:rsidRPr="00CC1AD9">
        <w:rPr>
          <w:i/>
          <w:iCs/>
          <w:vertAlign w:val="superscript"/>
        </w:rPr>
        <w:t>c</w:t>
      </w:r>
      <w:proofErr w:type="spellEnd"/>
      <w:r w:rsidRPr="00CC1AD9">
        <w:rPr>
          <w:i/>
          <w:iCs/>
        </w:rPr>
        <w:t xml:space="preserve">, Stephen D. </w:t>
      </w:r>
      <w:proofErr w:type="spellStart"/>
      <w:r w:rsidRPr="00CC1AD9">
        <w:rPr>
          <w:i/>
          <w:iCs/>
        </w:rPr>
        <w:t>LeDuc</w:t>
      </w:r>
      <w:r w:rsidRPr="00CC1AD9">
        <w:rPr>
          <w:i/>
          <w:iCs/>
          <w:vertAlign w:val="superscript"/>
        </w:rPr>
        <w:t>a</w:t>
      </w:r>
      <w:proofErr w:type="spellEnd"/>
      <w:r w:rsidRPr="00CC1AD9">
        <w:rPr>
          <w:i/>
          <w:iCs/>
        </w:rPr>
        <w:t xml:space="preserve">, J. Jason </w:t>
      </w:r>
      <w:proofErr w:type="spellStart"/>
      <w:r w:rsidRPr="00CC1AD9">
        <w:rPr>
          <w:i/>
          <w:iCs/>
        </w:rPr>
        <w:t>West</w:t>
      </w:r>
      <w:r w:rsidRPr="00CC1AD9">
        <w:rPr>
          <w:i/>
          <w:iCs/>
          <w:vertAlign w:val="superscript"/>
        </w:rPr>
        <w:t>b</w:t>
      </w:r>
      <w:proofErr w:type="spellEnd"/>
    </w:p>
    <w:p w14:paraId="19C47877" w14:textId="77777777" w:rsidR="007E1CF9" w:rsidRPr="00CC1AD9" w:rsidRDefault="007E1CF9" w:rsidP="00543772">
      <w:pPr>
        <w:suppressLineNumbers/>
        <w:spacing w:line="240" w:lineRule="auto"/>
        <w:jc w:val="center"/>
        <w:rPr>
          <w:i/>
          <w:iCs/>
          <w:vertAlign w:val="superscript"/>
        </w:rPr>
      </w:pPr>
    </w:p>
    <w:p w14:paraId="5957BEF0" w14:textId="77777777" w:rsidR="00543772" w:rsidRDefault="00543772" w:rsidP="007E1CF9">
      <w:pPr>
        <w:suppressLineNumbers/>
        <w:spacing w:line="240" w:lineRule="auto"/>
      </w:pPr>
      <w:proofErr w:type="spellStart"/>
      <w:r w:rsidRPr="00CC1AD9">
        <w:rPr>
          <w:vertAlign w:val="superscript"/>
        </w:rPr>
        <w:t>a</w:t>
      </w:r>
      <w:r w:rsidRPr="009D6014">
        <w:t>Center</w:t>
      </w:r>
      <w:proofErr w:type="spellEnd"/>
      <w:r w:rsidRPr="00881422">
        <w:t xml:space="preserve"> for Public Health and Environmental Assessment,</w:t>
      </w:r>
      <w:r>
        <w:rPr>
          <w:vertAlign w:val="superscript"/>
        </w:rPr>
        <w:t xml:space="preserve"> </w:t>
      </w:r>
      <w:r w:rsidRPr="00CC1AD9">
        <w:t xml:space="preserve">Office of Research and Development, U.S. Environmental Protection Agency, </w:t>
      </w:r>
      <w:r>
        <w:t>Research Triangle Park</w:t>
      </w:r>
      <w:r w:rsidRPr="00CC1AD9">
        <w:t>, North Carolina, USA.</w:t>
      </w:r>
    </w:p>
    <w:p w14:paraId="1644EEC8" w14:textId="77777777" w:rsidR="00543772" w:rsidRDefault="00543772" w:rsidP="007E1CF9">
      <w:pPr>
        <w:suppressLineNumbers/>
        <w:spacing w:line="240" w:lineRule="auto"/>
      </w:pPr>
      <w:proofErr w:type="spellStart"/>
      <w:r w:rsidRPr="00CC1AD9">
        <w:rPr>
          <w:vertAlign w:val="superscript"/>
        </w:rPr>
        <w:t>b</w:t>
      </w:r>
      <w:r w:rsidRPr="00CC1AD9">
        <w:t>Department</w:t>
      </w:r>
      <w:proofErr w:type="spellEnd"/>
      <w:r w:rsidRPr="00CC1AD9">
        <w:t xml:space="preserve"> of Environmental Sciences and Engineering, </w:t>
      </w:r>
      <w:proofErr w:type="spellStart"/>
      <w:r w:rsidRPr="00CC1AD9">
        <w:t>Gillings</w:t>
      </w:r>
      <w:proofErr w:type="spellEnd"/>
      <w:r w:rsidRPr="00CC1AD9">
        <w:t xml:space="preserve"> School of Global Public Health, University of North Carolina, Chapel Hill, North Carolina, USA</w:t>
      </w:r>
    </w:p>
    <w:p w14:paraId="6D893037" w14:textId="77777777" w:rsidR="00543772" w:rsidRDefault="00543772" w:rsidP="007E1CF9">
      <w:pPr>
        <w:suppressLineNumbers/>
        <w:spacing w:line="240" w:lineRule="auto"/>
      </w:pPr>
      <w:proofErr w:type="spellStart"/>
      <w:r w:rsidRPr="00CC1AD9">
        <w:rPr>
          <w:vertAlign w:val="superscript"/>
        </w:rPr>
        <w:t>c</w:t>
      </w:r>
      <w:r w:rsidRPr="009D6014">
        <w:t>Center</w:t>
      </w:r>
      <w:proofErr w:type="spellEnd"/>
      <w:r w:rsidRPr="00881422">
        <w:t xml:space="preserve"> for </w:t>
      </w:r>
      <w:r>
        <w:t>Environmental Measurement and Modeling</w:t>
      </w:r>
      <w:r w:rsidRPr="00881422">
        <w:t>,</w:t>
      </w:r>
      <w:r>
        <w:rPr>
          <w:vertAlign w:val="superscript"/>
        </w:rPr>
        <w:t xml:space="preserve"> </w:t>
      </w:r>
      <w:r w:rsidRPr="00CC1AD9">
        <w:t xml:space="preserve">Office of Research and Development, U.S. Environmental Protection Agency, </w:t>
      </w:r>
      <w:r>
        <w:t>Research Triangle Park</w:t>
      </w:r>
      <w:r w:rsidRPr="00CC1AD9">
        <w:t>, North Carolina, USA.</w:t>
      </w:r>
    </w:p>
    <w:p w14:paraId="430BABB6" w14:textId="77777777" w:rsidR="00543772" w:rsidRDefault="00543772" w:rsidP="00543772">
      <w:pPr>
        <w:suppressLineNumbers/>
        <w:spacing w:line="259" w:lineRule="auto"/>
        <w:rPr>
          <w:rFonts w:cs="Arial"/>
        </w:rPr>
      </w:pPr>
      <w:r>
        <w:rPr>
          <w:rFonts w:cs="Arial"/>
        </w:rPr>
        <w:br w:type="page"/>
      </w:r>
    </w:p>
    <w:p w14:paraId="400638B1" w14:textId="31C7372A" w:rsidR="00055524" w:rsidRDefault="00055524">
      <w:pPr>
        <w:spacing w:line="259" w:lineRule="auto"/>
        <w:rPr>
          <w:rFonts w:eastAsiaTheme="majorEastAsia" w:cs="Arial"/>
          <w:b/>
          <w:color w:val="000000" w:themeColor="text1"/>
          <w:szCs w:val="32"/>
        </w:rPr>
      </w:pPr>
    </w:p>
    <w:p w14:paraId="11FBFAEA" w14:textId="423198D0" w:rsidR="000067F8" w:rsidRDefault="00D01787" w:rsidP="00D01787">
      <w:pPr>
        <w:pStyle w:val="Heading1"/>
        <w:numPr>
          <w:ilvl w:val="0"/>
          <w:numId w:val="0"/>
        </w:numPr>
        <w:jc w:val="center"/>
        <w:rPr>
          <w:rFonts w:cs="Arial"/>
        </w:rPr>
      </w:pPr>
      <w:r>
        <w:rPr>
          <w:rFonts w:cs="Arial"/>
        </w:rPr>
        <w:t>List of Figures</w:t>
      </w:r>
    </w:p>
    <w:p w14:paraId="378C92E0" w14:textId="65E2283F" w:rsidR="00BC1C0F" w:rsidRDefault="00D01787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r>
        <w:fldChar w:fldCharType="begin"/>
      </w:r>
      <w:r>
        <w:instrText xml:space="preserve"> TOC \f B \h \z \c "Figure" </w:instrText>
      </w:r>
      <w:r>
        <w:fldChar w:fldCharType="separate"/>
      </w:r>
      <w:hyperlink w:anchor="_Toc165977711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S1. </w:t>
        </w:r>
        <w:r w:rsidR="00BC1C0F" w:rsidRPr="00BF6F2C">
          <w:rPr>
            <w:rStyle w:val="Hyperlink"/>
            <w:rFonts w:cs="Arial"/>
            <w:noProof/>
          </w:rPr>
          <w:t>Percent of total contiguous US population weighted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b/>
            <w:bCs/>
            <w:noProof/>
          </w:rPr>
          <w:t xml:space="preserve"> </w:t>
        </w:r>
        <w:r w:rsidR="00BC1C0F" w:rsidRPr="00BF6F2C">
          <w:rPr>
            <w:rStyle w:val="Hyperlink"/>
            <w:rFonts w:cs="Arial"/>
            <w:noProof/>
          </w:rPr>
          <w:t>concentrations attributable to wildland fire in 2007 to 2018.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_Toc165977711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6</w:t>
        </w:r>
        <w:r w:rsidR="00BC1C0F">
          <w:rPr>
            <w:noProof/>
            <w:webHidden/>
          </w:rPr>
          <w:fldChar w:fldCharType="end"/>
        </w:r>
      </w:hyperlink>
    </w:p>
    <w:p w14:paraId="26EB603C" w14:textId="02770CFF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2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S2. </w:t>
        </w:r>
        <w:r w:rsidR="00BC1C0F" w:rsidRPr="00BF6F2C">
          <w:rPr>
            <w:rStyle w:val="Hyperlink"/>
            <w:rFonts w:cs="Arial"/>
            <w:noProof/>
          </w:rPr>
          <w:t>Maps of 2007 to 2018 CMAQ annual mean total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_Toc165977712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7</w:t>
        </w:r>
        <w:r w:rsidR="00BC1C0F">
          <w:rPr>
            <w:noProof/>
            <w:webHidden/>
          </w:rPr>
          <w:fldChar w:fldCharType="end"/>
        </w:r>
      </w:hyperlink>
    </w:p>
    <w:p w14:paraId="2ED7B4DD" w14:textId="17A77EE9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3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S3. </w:t>
        </w:r>
        <w:r w:rsidR="00BC1C0F" w:rsidRPr="00BF6F2C">
          <w:rPr>
            <w:rStyle w:val="Hyperlink"/>
            <w:rFonts w:cs="Arial"/>
            <w:noProof/>
          </w:rPr>
          <w:t>Maps of 2007 to 2018 CMAQ annual mean non-fire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_Toc165977713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8</w:t>
        </w:r>
        <w:r w:rsidR="00BC1C0F">
          <w:rPr>
            <w:noProof/>
            <w:webHidden/>
          </w:rPr>
          <w:fldChar w:fldCharType="end"/>
        </w:r>
      </w:hyperlink>
    </w:p>
    <w:p w14:paraId="24425EAC" w14:textId="72E16CBC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4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S4. </w:t>
        </w:r>
        <w:r w:rsidR="00BC1C0F" w:rsidRPr="00BF6F2C">
          <w:rPr>
            <w:rStyle w:val="Hyperlink"/>
            <w:rFonts w:cs="Arial"/>
            <w:noProof/>
          </w:rPr>
          <w:t>Maps of 2007 to 2018 CMAQ annual mean wildland 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_Toc165977714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9</w:t>
        </w:r>
        <w:r w:rsidR="00BC1C0F">
          <w:rPr>
            <w:noProof/>
            <w:webHidden/>
          </w:rPr>
          <w:fldChar w:fldCharType="end"/>
        </w:r>
      </w:hyperlink>
    </w:p>
    <w:p w14:paraId="2136C4E7" w14:textId="19732EC7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5" w:history="1">
        <w:r w:rsidR="00BC1C0F" w:rsidRPr="00BF6F2C">
          <w:rPr>
            <w:rStyle w:val="Hyperlink"/>
            <w:rFonts w:cs="Arial"/>
            <w:b/>
            <w:noProof/>
          </w:rPr>
          <w:t>Figure S5.</w:t>
        </w:r>
        <w:r w:rsidR="00BC1C0F" w:rsidRPr="00BF6F2C">
          <w:rPr>
            <w:rStyle w:val="Hyperlink"/>
            <w:rFonts w:cs="Arial"/>
            <w:noProof/>
          </w:rPr>
          <w:t xml:space="preserve"> Annual average total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in Census tracts where both wildland 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and non-fire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are in the top 50</w:t>
        </w:r>
        <w:r w:rsidR="00BC1C0F" w:rsidRPr="00BF6F2C">
          <w:rPr>
            <w:rStyle w:val="Hyperlink"/>
            <w:rFonts w:cs="Arial"/>
            <w:noProof/>
            <w:vertAlign w:val="superscript"/>
          </w:rPr>
          <w:t>th</w:t>
        </w:r>
        <w:r w:rsidR="00BC1C0F" w:rsidRPr="00BF6F2C">
          <w:rPr>
            <w:rStyle w:val="Hyperlink"/>
            <w:rFonts w:cs="Arial"/>
            <w:noProof/>
          </w:rPr>
          <w:t xml:space="preserve"> percentile annually of Census tracts in 2007 to 2018.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_Toc165977715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10</w:t>
        </w:r>
        <w:r w:rsidR="00BC1C0F">
          <w:rPr>
            <w:noProof/>
            <w:webHidden/>
          </w:rPr>
          <w:fldChar w:fldCharType="end"/>
        </w:r>
      </w:hyperlink>
    </w:p>
    <w:p w14:paraId="4D2C9248" w14:textId="0AF4E256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6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S6. </w:t>
        </w:r>
        <w:r w:rsidR="00BC1C0F" w:rsidRPr="00BF6F2C">
          <w:rPr>
            <w:rStyle w:val="Hyperlink"/>
            <w:rFonts w:cs="Arial"/>
            <w:noProof/>
          </w:rPr>
          <w:t xml:space="preserve">Count of people living in contiguous US Census tracts with annual means exceeding 9.6 </w:t>
        </w:r>
        <w:r w:rsidR="00BC1C0F" w:rsidRPr="00BF6F2C">
          <w:rPr>
            <w:rStyle w:val="Hyperlink"/>
            <w:rFonts w:cs="Arial"/>
            <w:noProof/>
            <w:lang w:val="el-GR"/>
          </w:rPr>
          <w:t>μ</w:t>
        </w:r>
        <w:r w:rsidR="00BC1C0F" w:rsidRPr="00BF6F2C">
          <w:rPr>
            <w:rStyle w:val="Hyperlink"/>
            <w:rFonts w:cs="Arial"/>
            <w:noProof/>
          </w:rPr>
          <w:t>g/m</w:t>
        </w:r>
        <w:r w:rsidR="00BC1C0F" w:rsidRPr="00BF6F2C">
          <w:rPr>
            <w:rStyle w:val="Hyperlink"/>
            <w:rFonts w:cs="Arial"/>
            <w:noProof/>
            <w:vertAlign w:val="superscript"/>
          </w:rPr>
          <w:t xml:space="preserve">3 </w:t>
        </w:r>
        <w:r w:rsidR="00BC1C0F" w:rsidRPr="00BF6F2C">
          <w:rPr>
            <w:rStyle w:val="Hyperlink"/>
            <w:rFonts w:cs="Arial"/>
            <w:noProof/>
          </w:rPr>
          <w:t>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(i.e., the overall 2007 to 2018 population weighted mean), considering total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and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from non-fire sources from 2007 to 2018. Light blue denotes people living in Census tracts that would not be above the 9.6 </w:t>
        </w:r>
        <w:r w:rsidR="00BC1C0F" w:rsidRPr="00BF6F2C">
          <w:rPr>
            <w:rStyle w:val="Hyperlink"/>
            <w:rFonts w:cs="Arial"/>
            <w:noProof/>
            <w:lang w:val="el-GR"/>
          </w:rPr>
          <w:t>μ</w:t>
        </w:r>
        <w:r w:rsidR="00BC1C0F" w:rsidRPr="00BF6F2C">
          <w:rPr>
            <w:rStyle w:val="Hyperlink"/>
            <w:rFonts w:cs="Arial"/>
            <w:noProof/>
          </w:rPr>
          <w:t>g/m</w:t>
        </w:r>
        <w:r w:rsidR="00BC1C0F" w:rsidRPr="00BF6F2C">
          <w:rPr>
            <w:rStyle w:val="Hyperlink"/>
            <w:rFonts w:cs="Arial"/>
            <w:noProof/>
            <w:vertAlign w:val="superscript"/>
          </w:rPr>
          <w:t xml:space="preserve">3 </w:t>
        </w:r>
        <w:r w:rsidR="00BC1C0F" w:rsidRPr="00BF6F2C">
          <w:rPr>
            <w:rStyle w:val="Hyperlink"/>
            <w:rFonts w:cs="Arial"/>
            <w:noProof/>
          </w:rPr>
          <w:t>threshold if not for contributions from wildland fires.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_Toc165977716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12</w:t>
        </w:r>
        <w:r w:rsidR="00BC1C0F">
          <w:rPr>
            <w:noProof/>
            <w:webHidden/>
          </w:rPr>
          <w:fldChar w:fldCharType="end"/>
        </w:r>
      </w:hyperlink>
    </w:p>
    <w:p w14:paraId="41F4AF1F" w14:textId="49C13928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7" w:history="1">
        <w:r w:rsidR="00BC1C0F" w:rsidRPr="00BF6F2C">
          <w:rPr>
            <w:rStyle w:val="Hyperlink"/>
            <w:rFonts w:cs="Arial"/>
            <w:b/>
            <w:bCs/>
            <w:noProof/>
          </w:rPr>
          <w:t>Figure S7.</w:t>
        </w:r>
        <w:r w:rsidR="00BC1C0F" w:rsidRPr="00BF6F2C">
          <w:rPr>
            <w:rStyle w:val="Hyperlink"/>
            <w:rFonts w:cs="Arial"/>
            <w:noProof/>
          </w:rPr>
          <w:t xml:space="preserve"> Annual average population-weighted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in 2007 to 2018 by National Climate Assessment (NCA) region for total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Total),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 </w:t>
        </w:r>
        <w:r w:rsidR="00BC1C0F" w:rsidRPr="00BF6F2C">
          <w:rPr>
            <w:rStyle w:val="Hyperlink"/>
            <w:rFonts w:cs="Arial"/>
            <w:noProof/>
          </w:rPr>
          <w:t>non-fire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2.5 </w:t>
        </w:r>
        <w:r w:rsidR="00BC1C0F" w:rsidRPr="00BF6F2C">
          <w:rPr>
            <w:rStyle w:val="Hyperlink"/>
            <w:rFonts w:cs="Arial"/>
            <w:noProof/>
          </w:rPr>
          <w:t>(CMAQ No Fire), wildland fire-specific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Fire), and wildfire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estimated in Childs et al. (2022).</w:t>
        </w:r>
        <w:r w:rsidR="00BC1C0F" w:rsidRPr="00BF6F2C">
          <w:rPr>
            <w:rStyle w:val="Hyperlink"/>
            <w:rFonts w:cs="Arial"/>
            <w:noProof/>
            <w:vertAlign w:val="superscript"/>
          </w:rPr>
          <w:t>30</w:t>
        </w:r>
        <w:r w:rsidR="00BC1C0F" w:rsidRPr="00BF6F2C">
          <w:rPr>
            <w:rStyle w:val="Hyperlink"/>
            <w:rFonts w:cs="Arial"/>
            <w:noProof/>
          </w:rPr>
          <w:t xml:space="preserve"> (Childs Fire).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_Toc165977717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15</w:t>
        </w:r>
        <w:r w:rsidR="00BC1C0F">
          <w:rPr>
            <w:noProof/>
            <w:webHidden/>
          </w:rPr>
          <w:fldChar w:fldCharType="end"/>
        </w:r>
      </w:hyperlink>
    </w:p>
    <w:p w14:paraId="62EEFF5E" w14:textId="1957A4EE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8" w:history="1">
        <w:r w:rsidR="00BC1C0F" w:rsidRPr="00BF6F2C">
          <w:rPr>
            <w:rStyle w:val="Hyperlink"/>
            <w:rFonts w:cs="Arial"/>
            <w:b/>
            <w:bCs/>
            <w:noProof/>
          </w:rPr>
          <w:t>Figure S8.</w:t>
        </w:r>
        <w:r w:rsidR="00BC1C0F" w:rsidRPr="00BF6F2C">
          <w:rPr>
            <w:rStyle w:val="Hyperlink"/>
            <w:rFonts w:cs="Arial"/>
            <w:noProof/>
          </w:rPr>
          <w:t xml:space="preserve"> Annual average population-weighted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in 2007 to concentrations by urban-rural status identified using Rural-Urban Commuting Area primary codes (RUCA) for total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Total),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 </w:t>
        </w:r>
        <w:r w:rsidR="00BC1C0F" w:rsidRPr="00BF6F2C">
          <w:rPr>
            <w:rStyle w:val="Hyperlink"/>
            <w:rFonts w:cs="Arial"/>
            <w:noProof/>
          </w:rPr>
          <w:t>non-fire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2.5 </w:t>
        </w:r>
        <w:r w:rsidR="00BC1C0F" w:rsidRPr="00BF6F2C">
          <w:rPr>
            <w:rStyle w:val="Hyperlink"/>
            <w:rFonts w:cs="Arial"/>
            <w:noProof/>
          </w:rPr>
          <w:t>(CMAQ No Fire), wildland fire-specific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Fire), and wildfire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estimated in Childs et al. (2022).</w:t>
        </w:r>
        <w:r w:rsidR="00BC1C0F" w:rsidRPr="00BF6F2C">
          <w:rPr>
            <w:rStyle w:val="Hyperlink"/>
            <w:rFonts w:cs="Arial"/>
            <w:noProof/>
            <w:vertAlign w:val="superscript"/>
          </w:rPr>
          <w:t>30</w:t>
        </w:r>
        <w:r w:rsidR="00BC1C0F" w:rsidRPr="00BF6F2C">
          <w:rPr>
            <w:rStyle w:val="Hyperlink"/>
            <w:rFonts w:cs="Arial"/>
            <w:noProof/>
          </w:rPr>
          <w:t xml:space="preserve"> (Childs Fire). RUCA categories: urban core (RUCA code 1), suburban (RUCA code 2), micropolitan (RUCA codes 3, 4, 5, and 6), small town (RUCA codes 7, 8, and 9), and rural (RUCA code 10).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_Toc165977718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16</w:t>
        </w:r>
        <w:r w:rsidR="00BC1C0F">
          <w:rPr>
            <w:noProof/>
            <w:webHidden/>
          </w:rPr>
          <w:fldChar w:fldCharType="end"/>
        </w:r>
      </w:hyperlink>
    </w:p>
    <w:p w14:paraId="05C7A174" w14:textId="13B6D08A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19" w:history="1">
        <w:r w:rsidR="00BC1C0F" w:rsidRPr="00BF6F2C">
          <w:rPr>
            <w:rStyle w:val="Hyperlink"/>
            <w:rFonts w:cs="Arial"/>
            <w:b/>
            <w:bCs/>
            <w:noProof/>
          </w:rPr>
          <w:t>Figure S9.</w:t>
        </w:r>
        <w:r w:rsidR="00BC1C0F" w:rsidRPr="00BF6F2C">
          <w:rPr>
            <w:rStyle w:val="Hyperlink"/>
            <w:rFonts w:cs="Arial"/>
            <w:noProof/>
          </w:rPr>
          <w:t xml:space="preserve"> Annual average population-weighted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in 2007 to 2018 by language spoken at home for total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Total),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 </w:t>
        </w:r>
        <w:r w:rsidR="00BC1C0F" w:rsidRPr="00BF6F2C">
          <w:rPr>
            <w:rStyle w:val="Hyperlink"/>
            <w:rFonts w:cs="Arial"/>
            <w:noProof/>
          </w:rPr>
          <w:t>non-fire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2.5 </w:t>
        </w:r>
        <w:r w:rsidR="00BC1C0F" w:rsidRPr="00BF6F2C">
          <w:rPr>
            <w:rStyle w:val="Hyperlink"/>
            <w:rFonts w:cs="Arial"/>
            <w:noProof/>
          </w:rPr>
          <w:t>(CMAQ No Fire), wildland fire-specific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Fire), and wildfire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estimated in Childs et al. (2022).</w:t>
        </w:r>
        <w:r w:rsidR="00BC1C0F" w:rsidRPr="00BF6F2C">
          <w:rPr>
            <w:rStyle w:val="Hyperlink"/>
            <w:rFonts w:cs="Arial"/>
            <w:noProof/>
            <w:vertAlign w:val="superscript"/>
          </w:rPr>
          <w:t>30</w:t>
        </w:r>
        <w:r w:rsidR="00BC1C0F" w:rsidRPr="00BF6F2C">
          <w:rPr>
            <w:rStyle w:val="Hyperlink"/>
            <w:rFonts w:cs="Arial"/>
            <w:noProof/>
          </w:rPr>
          <w:t xml:space="preserve"> (Childs Fire).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_Toc165977719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17</w:t>
        </w:r>
        <w:r w:rsidR="00BC1C0F">
          <w:rPr>
            <w:noProof/>
            <w:webHidden/>
          </w:rPr>
          <w:fldChar w:fldCharType="end"/>
        </w:r>
      </w:hyperlink>
    </w:p>
    <w:p w14:paraId="56898C9F" w14:textId="5C631E67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0" w:history="1">
        <w:r w:rsidR="00BC1C0F" w:rsidRPr="00BF6F2C">
          <w:rPr>
            <w:rStyle w:val="Hyperlink"/>
            <w:rFonts w:cs="Arial"/>
            <w:b/>
            <w:bCs/>
            <w:noProof/>
          </w:rPr>
          <w:t>Figure S10.</w:t>
        </w:r>
        <w:r w:rsidR="00BC1C0F" w:rsidRPr="00BF6F2C">
          <w:rPr>
            <w:rStyle w:val="Hyperlink"/>
            <w:rFonts w:cs="Arial"/>
            <w:noProof/>
          </w:rPr>
          <w:t xml:space="preserve"> Annual average population-weighted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in 2007 to 2018 by per-capita income quintile for total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Total),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 </w:t>
        </w:r>
        <w:r w:rsidR="00BC1C0F" w:rsidRPr="00BF6F2C">
          <w:rPr>
            <w:rStyle w:val="Hyperlink"/>
            <w:rFonts w:cs="Arial"/>
            <w:noProof/>
          </w:rPr>
          <w:t>non-fire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 xml:space="preserve">2.5 </w:t>
        </w:r>
        <w:r w:rsidR="00BC1C0F" w:rsidRPr="00BF6F2C">
          <w:rPr>
            <w:rStyle w:val="Hyperlink"/>
            <w:rFonts w:cs="Arial"/>
            <w:noProof/>
          </w:rPr>
          <w:t>(CMAQ No Fire), wildland fire-specific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(CMAQ Fire), and wildfire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estimated in Childs et al. (2022).</w:t>
        </w:r>
        <w:r w:rsidR="00BC1C0F" w:rsidRPr="00BF6F2C">
          <w:rPr>
            <w:rStyle w:val="Hyperlink"/>
            <w:rFonts w:cs="Arial"/>
            <w:noProof/>
            <w:vertAlign w:val="superscript"/>
          </w:rPr>
          <w:t>30</w:t>
        </w:r>
        <w:r w:rsidR="00BC1C0F" w:rsidRPr="00BF6F2C">
          <w:rPr>
            <w:rStyle w:val="Hyperlink"/>
            <w:rFonts w:cs="Arial"/>
            <w:noProof/>
          </w:rPr>
          <w:t xml:space="preserve"> (Childs Fire). Per-capita income </w:t>
        </w:r>
        <w:r w:rsidR="00BC1C0F" w:rsidRPr="00BF6F2C">
          <w:rPr>
            <w:rStyle w:val="Hyperlink"/>
            <w:rFonts w:cs="Arial"/>
            <w:noProof/>
          </w:rPr>
          <w:lastRenderedPageBreak/>
          <w:t>quintiles: quintile 1: $150-$17,261, quintile 2: $17,261-$21,837, quintile 3: $21,837-$26,687, quintile 4: $26,687-$34,707, and quintile 5: $34,707-$293,610.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_Toc165977720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18</w:t>
        </w:r>
        <w:r w:rsidR="00BC1C0F">
          <w:rPr>
            <w:noProof/>
            <w:webHidden/>
          </w:rPr>
          <w:fldChar w:fldCharType="end"/>
        </w:r>
      </w:hyperlink>
    </w:p>
    <w:p w14:paraId="75E4936A" w14:textId="020C86E4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1" w:history="1">
        <w:r w:rsidR="00BC1C0F" w:rsidRPr="00BF6F2C">
          <w:rPr>
            <w:rStyle w:val="Hyperlink"/>
            <w:rFonts w:cs="Arial"/>
            <w:b/>
            <w:bCs/>
            <w:noProof/>
          </w:rPr>
          <w:t>Figure S11.</w:t>
        </w:r>
        <w:r w:rsidR="00BC1C0F" w:rsidRPr="00BF6F2C">
          <w:rPr>
            <w:rStyle w:val="Hyperlink"/>
            <w:rFonts w:cs="Arial"/>
            <w:noProof/>
          </w:rPr>
          <w:t xml:space="preserve"> Population weighted 98</w:t>
        </w:r>
        <w:r w:rsidR="00BC1C0F" w:rsidRPr="00BF6F2C">
          <w:rPr>
            <w:rStyle w:val="Hyperlink"/>
            <w:rFonts w:cs="Arial"/>
            <w:noProof/>
            <w:vertAlign w:val="superscript"/>
          </w:rPr>
          <w:t>th</w:t>
        </w:r>
        <w:r w:rsidR="00BC1C0F" w:rsidRPr="00BF6F2C">
          <w:rPr>
            <w:rStyle w:val="Hyperlink"/>
            <w:rFonts w:cs="Arial"/>
            <w:noProof/>
          </w:rPr>
          <w:t xml:space="preserve"> percentile of contiguous United States daily average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in 2007 to 2018.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_Toc165977721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19</w:t>
        </w:r>
        <w:r w:rsidR="00BC1C0F">
          <w:rPr>
            <w:noProof/>
            <w:webHidden/>
          </w:rPr>
          <w:fldChar w:fldCharType="end"/>
        </w:r>
      </w:hyperlink>
    </w:p>
    <w:p w14:paraId="5CF839AD" w14:textId="11F73805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2" w:history="1">
        <w:r w:rsidR="00BC1C0F" w:rsidRPr="00BF6F2C">
          <w:rPr>
            <w:rStyle w:val="Hyperlink"/>
            <w:rFonts w:cs="Arial"/>
            <w:b/>
            <w:noProof/>
          </w:rPr>
          <w:t>Figure S12.</w:t>
        </w:r>
        <w:r w:rsidR="00BC1C0F" w:rsidRPr="00BF6F2C">
          <w:rPr>
            <w:rStyle w:val="Hyperlink"/>
            <w:rFonts w:cs="Arial"/>
            <w:noProof/>
          </w:rPr>
          <w:t xml:space="preserve"> Annual population-weighted 98</w:t>
        </w:r>
        <w:r w:rsidR="00BC1C0F" w:rsidRPr="00BF6F2C">
          <w:rPr>
            <w:rStyle w:val="Hyperlink"/>
            <w:rFonts w:cs="Arial"/>
            <w:noProof/>
            <w:vertAlign w:val="superscript"/>
          </w:rPr>
          <w:t>th</w:t>
        </w:r>
        <w:r w:rsidR="00BC1C0F" w:rsidRPr="00BF6F2C">
          <w:rPr>
            <w:rStyle w:val="Hyperlink"/>
            <w:rFonts w:cs="Arial"/>
            <w:noProof/>
          </w:rPr>
          <w:t xml:space="preserve"> percentile of 2007 to 2018 daily total CMAQ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exposure by region, primary rural urban commuting area code (RUCA 1), race/ethnicity, language, and quintile of per-capita income.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_Toc165977722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20</w:t>
        </w:r>
        <w:r w:rsidR="00BC1C0F">
          <w:rPr>
            <w:noProof/>
            <w:webHidden/>
          </w:rPr>
          <w:fldChar w:fldCharType="end"/>
        </w:r>
      </w:hyperlink>
    </w:p>
    <w:p w14:paraId="39C9788A" w14:textId="61BAC068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3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S13. </w:t>
        </w:r>
        <w:r w:rsidR="00BC1C0F" w:rsidRPr="00BF6F2C">
          <w:rPr>
            <w:rStyle w:val="Hyperlink"/>
            <w:rFonts w:cs="Arial"/>
            <w:noProof/>
          </w:rPr>
          <w:t>Relative burden of total (CMAQ Total), wildland fire (CMAQ Fire), non-fire (CMAQ No Fire)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by Rural-Urban Commuting Area (RUCA) urbanicity classifications, race and ethnicity, language spoken at home, and per-capita income quintile in the midwest. Regional subgroup concentrations are compared to overall CONUS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_Toc165977723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21</w:t>
        </w:r>
        <w:r w:rsidR="00BC1C0F">
          <w:rPr>
            <w:noProof/>
            <w:webHidden/>
          </w:rPr>
          <w:fldChar w:fldCharType="end"/>
        </w:r>
      </w:hyperlink>
    </w:p>
    <w:p w14:paraId="0122260C" w14:textId="76CD7FE0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4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S14. </w:t>
        </w:r>
        <w:r w:rsidR="00BC1C0F" w:rsidRPr="00BF6F2C">
          <w:rPr>
            <w:rStyle w:val="Hyperlink"/>
            <w:rFonts w:cs="Arial"/>
            <w:noProof/>
          </w:rPr>
          <w:t>Relative burden of total (CMAQ Total), wildland fire (CMAQ Fire), non-fire (CMAQ No Fire)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by Rural-Urban Commuting Area (RUCA) urbanicity classifications, race and ethnicity, language spoken at home, and per-capita income quintile in the northeast. Regional subgroup concentrations are compared to overall CONUS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_Toc165977724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22</w:t>
        </w:r>
        <w:r w:rsidR="00BC1C0F">
          <w:rPr>
            <w:noProof/>
            <w:webHidden/>
          </w:rPr>
          <w:fldChar w:fldCharType="end"/>
        </w:r>
      </w:hyperlink>
    </w:p>
    <w:p w14:paraId="161A3AA8" w14:textId="4411888D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5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S15. </w:t>
        </w:r>
        <w:r w:rsidR="00BC1C0F" w:rsidRPr="00BF6F2C">
          <w:rPr>
            <w:rStyle w:val="Hyperlink"/>
            <w:rFonts w:cs="Arial"/>
            <w:noProof/>
          </w:rPr>
          <w:t>Relative burden of total (CMAQ Total), wildland fire (CMAQ Fire), non-fire (CMAQ No Fire)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by Rural-Urban Commuting Area (RUCA) urbanicity classifications, race and ethnicity, language spoken at home, and per-capita income quintile in the northern great plains. Regional subgroup concentrations are compared to overall CONUS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_Toc165977725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23</w:t>
        </w:r>
        <w:r w:rsidR="00BC1C0F">
          <w:rPr>
            <w:noProof/>
            <w:webHidden/>
          </w:rPr>
          <w:fldChar w:fldCharType="end"/>
        </w:r>
      </w:hyperlink>
    </w:p>
    <w:p w14:paraId="0748FD87" w14:textId="2EEF3E16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6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S16. </w:t>
        </w:r>
        <w:r w:rsidR="00BC1C0F" w:rsidRPr="00BF6F2C">
          <w:rPr>
            <w:rStyle w:val="Hyperlink"/>
            <w:rFonts w:cs="Arial"/>
            <w:noProof/>
          </w:rPr>
          <w:t>Relative burden of total (CMAQ Total), wildland fire (CMAQ Fire), non-fire (CMAQ No Fire)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by Rural-Urban Commuting Area (RUCA) urbanicity classifications, race and ethnicity, language spoken at home, and per-capita income quintile in the southern great plains. Regional subgroup concentrations are compared to overall CONUS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_Toc165977726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24</w:t>
        </w:r>
        <w:r w:rsidR="00BC1C0F">
          <w:rPr>
            <w:noProof/>
            <w:webHidden/>
          </w:rPr>
          <w:fldChar w:fldCharType="end"/>
        </w:r>
      </w:hyperlink>
    </w:p>
    <w:p w14:paraId="1632CF64" w14:textId="322FAB58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7" w:history="1">
        <w:r w:rsidR="00BC1C0F" w:rsidRPr="00BF6F2C">
          <w:rPr>
            <w:rStyle w:val="Hyperlink"/>
            <w:rFonts w:cs="Arial"/>
            <w:b/>
            <w:bCs/>
            <w:noProof/>
          </w:rPr>
          <w:t xml:space="preserve">Figure S17. </w:t>
        </w:r>
        <w:r w:rsidR="00BC1C0F" w:rsidRPr="00BF6F2C">
          <w:rPr>
            <w:rStyle w:val="Hyperlink"/>
            <w:rFonts w:cs="Arial"/>
            <w:noProof/>
          </w:rPr>
          <w:t>Relative burden of total (CMAQ Total), wildland fire (CMAQ Fire), non-fire (CMAQ No Fire)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</w:rPr>
          <w:t xml:space="preserve"> concentrations by Rural-Urban Commuting Area (RUCA) urbanicity classifications, race and ethnicity, language spoken at home, and per-capita income quintile in the southwest. Regional subgroup concentrations are compared to overall CONUS concentrations.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_Toc165977727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26</w:t>
        </w:r>
        <w:r w:rsidR="00BC1C0F">
          <w:rPr>
            <w:noProof/>
            <w:webHidden/>
          </w:rPr>
          <w:fldChar w:fldCharType="end"/>
        </w:r>
      </w:hyperlink>
    </w:p>
    <w:p w14:paraId="364AF905" w14:textId="0844D585" w:rsidR="00BC1C0F" w:rsidRDefault="00000000">
      <w:pPr>
        <w:pStyle w:val="TableofFigures"/>
        <w:tabs>
          <w:tab w:val="right" w:leader="dot" w:pos="9350"/>
        </w:tabs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77728" w:history="1">
        <w:r w:rsidR="00BC1C0F" w:rsidRPr="00BF6F2C">
          <w:rPr>
            <w:rStyle w:val="Hyperlink"/>
            <w:rFonts w:cs="Arial"/>
            <w:b/>
            <w:bCs/>
            <w:noProof/>
          </w:rPr>
          <w:t>Figure S18.</w:t>
        </w:r>
        <w:r w:rsidR="00BC1C0F" w:rsidRPr="00BF6F2C">
          <w:rPr>
            <w:rStyle w:val="Hyperlink"/>
            <w:rFonts w:cs="Arial"/>
            <w:noProof/>
          </w:rPr>
          <w:t xml:space="preserve"> Relative burden of wildland fire (CMAQ Fire) compared to Childs wildfire PM</w:t>
        </w:r>
        <w:r w:rsidR="00BC1C0F" w:rsidRPr="00BF6F2C">
          <w:rPr>
            <w:rStyle w:val="Hyperlink"/>
            <w:rFonts w:cs="Arial"/>
            <w:noProof/>
            <w:vertAlign w:val="subscript"/>
          </w:rPr>
          <w:t>2.5</w:t>
        </w:r>
        <w:r w:rsidR="00BC1C0F" w:rsidRPr="00BF6F2C">
          <w:rPr>
            <w:rStyle w:val="Hyperlink"/>
            <w:rFonts w:cs="Arial"/>
            <w:noProof/>
            <w:vertAlign w:val="superscript"/>
          </w:rPr>
          <w:t>30</w:t>
        </w:r>
        <w:r w:rsidR="00BC1C0F" w:rsidRPr="00BF6F2C">
          <w:rPr>
            <w:rStyle w:val="Hyperlink"/>
            <w:rFonts w:cs="Arial"/>
            <w:noProof/>
          </w:rPr>
          <w:t xml:space="preserve"> (Childs Fire) concentrations by Rural-Urban Commuting Area (RUCA) urbanicity classifications, race and ethnicity, language spoken at home, and per-capita income quintile.</w:t>
        </w:r>
        <w:r w:rsidR="00BC1C0F">
          <w:rPr>
            <w:noProof/>
            <w:webHidden/>
          </w:rPr>
          <w:tab/>
        </w:r>
        <w:r w:rsidR="00BC1C0F">
          <w:rPr>
            <w:noProof/>
            <w:webHidden/>
          </w:rPr>
          <w:fldChar w:fldCharType="begin"/>
        </w:r>
        <w:r w:rsidR="00BC1C0F">
          <w:rPr>
            <w:noProof/>
            <w:webHidden/>
          </w:rPr>
          <w:instrText xml:space="preserve"> PAGEREF _Toc165977728 \h </w:instrText>
        </w:r>
        <w:r w:rsidR="00BC1C0F">
          <w:rPr>
            <w:noProof/>
            <w:webHidden/>
          </w:rPr>
        </w:r>
        <w:r w:rsidR="00BC1C0F">
          <w:rPr>
            <w:noProof/>
            <w:webHidden/>
          </w:rPr>
          <w:fldChar w:fldCharType="separate"/>
        </w:r>
        <w:r w:rsidR="00BC1C0F">
          <w:rPr>
            <w:noProof/>
            <w:webHidden/>
          </w:rPr>
          <w:t>26</w:t>
        </w:r>
        <w:r w:rsidR="00BC1C0F">
          <w:rPr>
            <w:noProof/>
            <w:webHidden/>
          </w:rPr>
          <w:fldChar w:fldCharType="end"/>
        </w:r>
      </w:hyperlink>
    </w:p>
    <w:p w14:paraId="0150E679" w14:textId="75401429" w:rsidR="00D01787" w:rsidRDefault="00D01787" w:rsidP="00D01787">
      <w:r>
        <w:fldChar w:fldCharType="end"/>
      </w:r>
    </w:p>
    <w:p w14:paraId="34EA009E" w14:textId="77777777" w:rsidR="00D01787" w:rsidRDefault="00D01787">
      <w:pPr>
        <w:spacing w:line="259" w:lineRule="auto"/>
      </w:pPr>
      <w:r>
        <w:br w:type="page"/>
      </w:r>
    </w:p>
    <w:p w14:paraId="6C75C582" w14:textId="21FF8C73" w:rsidR="00D01787" w:rsidRDefault="00D01787" w:rsidP="00D01787">
      <w:pPr>
        <w:pStyle w:val="Heading1"/>
        <w:numPr>
          <w:ilvl w:val="0"/>
          <w:numId w:val="0"/>
        </w:numPr>
        <w:ind w:left="432" w:hanging="432"/>
        <w:jc w:val="center"/>
      </w:pPr>
      <w:r>
        <w:lastRenderedPageBreak/>
        <w:t>List of Tables</w:t>
      </w:r>
    </w:p>
    <w:p w14:paraId="658F47E3" w14:textId="334EADFE" w:rsidR="00D01787" w:rsidRDefault="00D01787" w:rsidP="00D01787">
      <w:pPr>
        <w:pStyle w:val="TableofFigures"/>
        <w:tabs>
          <w:tab w:val="right" w:leader="dot" w:pos="9270"/>
        </w:tabs>
        <w:ind w:right="720"/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r>
        <w:fldChar w:fldCharType="begin"/>
      </w:r>
      <w:r>
        <w:instrText xml:space="preserve"> TOC \f \h \z \c "Figure" </w:instrText>
      </w:r>
      <w:r>
        <w:fldChar w:fldCharType="separate"/>
      </w:r>
      <w:hyperlink w:anchor="_Toc165962338" w:history="1">
        <w:r w:rsidRPr="00E600C7">
          <w:rPr>
            <w:rStyle w:val="Hyperlink"/>
            <w:rFonts w:cs="Arial"/>
            <w:b/>
            <w:bCs/>
            <w:noProof/>
          </w:rPr>
          <w:t xml:space="preserve">Table S1. </w:t>
        </w:r>
        <w:r w:rsidRPr="00E600C7">
          <w:rPr>
            <w:rStyle w:val="Hyperlink"/>
            <w:rFonts w:cs="Arial"/>
            <w:noProof/>
          </w:rPr>
          <w:t>Correlation (Pearson’s r) between census tract-level annual mean PM</w:t>
        </w:r>
        <w:r w:rsidRPr="00E600C7">
          <w:rPr>
            <w:rStyle w:val="Hyperlink"/>
            <w:rFonts w:cs="Arial"/>
            <w:noProof/>
            <w:vertAlign w:val="subscript"/>
          </w:rPr>
          <w:t>2.5</w:t>
        </w:r>
        <w:r w:rsidRPr="00E600C7">
          <w:rPr>
            <w:rStyle w:val="Hyperlink"/>
            <w:rFonts w:cs="Arial"/>
            <w:noProof/>
          </w:rPr>
          <w:t xml:space="preserve"> for each dataset included in this study, overall in 2007 to 2018.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_Toc165962338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4C5B870" w14:textId="048667F4" w:rsidR="00D01787" w:rsidRDefault="00000000" w:rsidP="00D01787">
      <w:pPr>
        <w:pStyle w:val="TableofFigures"/>
        <w:tabs>
          <w:tab w:val="right" w:leader="dot" w:pos="9270"/>
        </w:tabs>
        <w:ind w:right="720"/>
        <w:rPr>
          <w:rFonts w:asciiTheme="minorHAnsi" w:eastAsiaTheme="minorEastAsia" w:hAnsiTheme="minorHAnsi"/>
          <w:noProof/>
          <w:kern w:val="2"/>
          <w:sz w:val="22"/>
          <w14:ligatures w14:val="standardContextual"/>
        </w:rPr>
      </w:pPr>
      <w:hyperlink w:anchor="_Toc165962339" w:history="1">
        <w:r w:rsidR="00D01787" w:rsidRPr="00E600C7">
          <w:rPr>
            <w:rStyle w:val="Hyperlink"/>
            <w:rFonts w:cs="Arial"/>
            <w:b/>
            <w:bCs/>
            <w:noProof/>
          </w:rPr>
          <w:t xml:space="preserve">Table S2. </w:t>
        </w:r>
        <w:r w:rsidR="00D01787" w:rsidRPr="00E600C7">
          <w:rPr>
            <w:rStyle w:val="Hyperlink"/>
            <w:rFonts w:cs="Arial"/>
            <w:noProof/>
          </w:rPr>
          <w:t>Population living in Census tracts with greater than the 2007 to 2018 population weighted mean no fire PM</w:t>
        </w:r>
        <w:r w:rsidR="00D01787" w:rsidRPr="00E600C7">
          <w:rPr>
            <w:rStyle w:val="Hyperlink"/>
            <w:rFonts w:cs="Arial"/>
            <w:noProof/>
            <w:vertAlign w:val="subscript"/>
          </w:rPr>
          <w:t>2.5</w:t>
        </w:r>
        <w:r w:rsidR="00D01787" w:rsidRPr="00E600C7">
          <w:rPr>
            <w:rStyle w:val="Hyperlink"/>
            <w:rFonts w:cs="Arial"/>
            <w:noProof/>
          </w:rPr>
          <w:t xml:space="preserve"> (8.7 µg/m³)</w:t>
        </w:r>
        <w:r w:rsidR="00D01787" w:rsidRPr="00E600C7">
          <w:rPr>
            <w:rStyle w:val="Hyperlink"/>
            <w:rFonts w:cs="Arial"/>
            <w:noProof/>
            <w:vertAlign w:val="subscript"/>
          </w:rPr>
          <w:t>,</w:t>
        </w:r>
        <w:r w:rsidR="00D01787" w:rsidRPr="00E600C7">
          <w:rPr>
            <w:rStyle w:val="Hyperlink"/>
            <w:rFonts w:cs="Arial"/>
            <w:noProof/>
          </w:rPr>
          <w:t xml:space="preserve"> fire PM</w:t>
        </w:r>
        <w:r w:rsidR="00D01787" w:rsidRPr="00E600C7">
          <w:rPr>
            <w:rStyle w:val="Hyperlink"/>
            <w:rFonts w:cs="Arial"/>
            <w:noProof/>
            <w:vertAlign w:val="subscript"/>
          </w:rPr>
          <w:t xml:space="preserve">2.5 </w:t>
        </w:r>
        <w:r w:rsidR="00D01787" w:rsidRPr="00E600C7">
          <w:rPr>
            <w:rStyle w:val="Hyperlink"/>
            <w:rFonts w:cs="Arial"/>
            <w:noProof/>
          </w:rPr>
          <w:t>(0.88 µg/m³), and both fire and no fire PM</w:t>
        </w:r>
        <w:r w:rsidR="00D01787" w:rsidRPr="00E600C7">
          <w:rPr>
            <w:rStyle w:val="Hyperlink"/>
            <w:rFonts w:cs="Arial"/>
            <w:noProof/>
            <w:vertAlign w:val="subscript"/>
          </w:rPr>
          <w:t>2.5</w:t>
        </w:r>
        <w:r w:rsidR="00D01787" w:rsidRPr="00E600C7">
          <w:rPr>
            <w:rStyle w:val="Hyperlink"/>
            <w:rFonts w:cs="Arial"/>
            <w:noProof/>
          </w:rPr>
          <w:t xml:space="preserve"> population weighted means by National Climate Assessment (NCA) regions, primary Rural Urban Commuting Area codes (RUCA), racial and ethnic groups, language spoken at home, and quintiles of per-capita income.</w:t>
        </w:r>
        <w:r w:rsidR="00D01787">
          <w:rPr>
            <w:noProof/>
            <w:webHidden/>
          </w:rPr>
          <w:tab/>
        </w:r>
        <w:r w:rsidR="00D01787">
          <w:rPr>
            <w:noProof/>
            <w:webHidden/>
          </w:rPr>
          <w:fldChar w:fldCharType="begin"/>
        </w:r>
        <w:r w:rsidR="00D01787">
          <w:rPr>
            <w:noProof/>
            <w:webHidden/>
          </w:rPr>
          <w:instrText xml:space="preserve"> PAGEREF _Toc165962339 \h </w:instrText>
        </w:r>
        <w:r w:rsidR="00D01787">
          <w:rPr>
            <w:noProof/>
            <w:webHidden/>
          </w:rPr>
        </w:r>
        <w:r w:rsidR="00D01787">
          <w:rPr>
            <w:noProof/>
            <w:webHidden/>
          </w:rPr>
          <w:fldChar w:fldCharType="separate"/>
        </w:r>
        <w:r w:rsidR="00D01787">
          <w:rPr>
            <w:noProof/>
            <w:webHidden/>
          </w:rPr>
          <w:t>11</w:t>
        </w:r>
        <w:r w:rsidR="00D01787">
          <w:rPr>
            <w:noProof/>
            <w:webHidden/>
          </w:rPr>
          <w:fldChar w:fldCharType="end"/>
        </w:r>
      </w:hyperlink>
    </w:p>
    <w:p w14:paraId="29F8A1E9" w14:textId="70BC8F99" w:rsidR="00D01787" w:rsidRDefault="00D01787" w:rsidP="00D01787">
      <w:r>
        <w:fldChar w:fldCharType="end"/>
      </w:r>
    </w:p>
    <w:p w14:paraId="73D1A186" w14:textId="4109E9AE" w:rsidR="000067F8" w:rsidRPr="00BC6294" w:rsidRDefault="00D01787" w:rsidP="000067F8">
      <w:pPr>
        <w:spacing w:line="259" w:lineRule="auto"/>
      </w:pPr>
      <w:r>
        <w:br w:type="page"/>
      </w:r>
    </w:p>
    <w:p w14:paraId="4C2E81EC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67A5F4DC" wp14:editId="64AF87BE">
            <wp:extent cx="5943600" cy="353187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3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B1879" w14:textId="77777777" w:rsidR="000067F8" w:rsidRPr="00161599" w:rsidRDefault="000067F8" w:rsidP="000067F8">
      <w:pPr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 xml:space="preserve">Figure S1. </w:t>
      </w:r>
      <w:r w:rsidRPr="00161599">
        <w:rPr>
          <w:rFonts w:cs="Arial"/>
        </w:rPr>
        <w:t>Percent of total contiguous US population weighted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  <w:b/>
          <w:bCs/>
        </w:rPr>
        <w:t xml:space="preserve"> </w:t>
      </w:r>
      <w:r w:rsidRPr="00161599">
        <w:rPr>
          <w:rFonts w:cs="Arial"/>
        </w:rPr>
        <w:t>concentrations attributable to wildland fire in 2007 to 2018.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0" w:name="_Toc163632897"/>
      <w:bookmarkStart w:id="1" w:name="_Toc164241953"/>
      <w:bookmarkStart w:id="2" w:name="_Toc164247694"/>
      <w:bookmarkStart w:id="3" w:name="_Toc165977711"/>
      <w:r w:rsidRPr="00161599">
        <w:rPr>
          <w:rFonts w:cs="Arial"/>
          <w:b/>
          <w:bCs/>
        </w:rPr>
        <w:instrText xml:space="preserve">Figure S1. </w:instrText>
      </w:r>
      <w:r w:rsidRPr="00161599">
        <w:rPr>
          <w:rFonts w:cs="Arial"/>
        </w:rPr>
        <w:instrText>Percent of total contiguous US population weighted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  <w:b/>
          <w:bCs/>
        </w:rPr>
        <w:instrText xml:space="preserve"> </w:instrText>
      </w:r>
      <w:r w:rsidRPr="00161599">
        <w:rPr>
          <w:rFonts w:cs="Arial"/>
        </w:rPr>
        <w:instrText>concentrations attributable to wildland fire in 2007 to 2018.</w:instrText>
      </w:r>
      <w:bookmarkEnd w:id="0"/>
      <w:bookmarkEnd w:id="1"/>
      <w:bookmarkEnd w:id="2"/>
      <w:bookmarkEnd w:id="3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0926965A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3CF76C79" wp14:editId="7B093FBC">
            <wp:extent cx="5992344" cy="6029325"/>
            <wp:effectExtent l="0" t="0" r="889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202" cy="6042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2BD9C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b/>
          <w:bCs/>
        </w:rPr>
        <w:t xml:space="preserve">Figure S2. </w:t>
      </w:r>
      <w:r w:rsidRPr="00161599">
        <w:rPr>
          <w:rFonts w:cs="Arial"/>
        </w:rPr>
        <w:t xml:space="preserve">Maps of </w:t>
      </w:r>
      <w:r>
        <w:rPr>
          <w:rFonts w:cs="Arial"/>
        </w:rPr>
        <w:t>2007 to 2018</w:t>
      </w:r>
      <w:r w:rsidRPr="00161599">
        <w:rPr>
          <w:rFonts w:cs="Arial"/>
        </w:rPr>
        <w:t xml:space="preserve"> CMAQ annual mean total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4" w:name="_Toc163632898"/>
      <w:bookmarkStart w:id="5" w:name="_Toc164241954"/>
      <w:bookmarkStart w:id="6" w:name="_Toc164247695"/>
      <w:bookmarkStart w:id="7" w:name="_Toc165977712"/>
      <w:r w:rsidRPr="00161599">
        <w:rPr>
          <w:rFonts w:cs="Arial"/>
          <w:b/>
          <w:bCs/>
        </w:rPr>
        <w:instrText xml:space="preserve">Figure S2. </w:instrText>
      </w:r>
      <w:r w:rsidRPr="00161599">
        <w:rPr>
          <w:rFonts w:cs="Arial"/>
        </w:rPr>
        <w:instrText>Maps of 2007</w:instrText>
      </w:r>
      <w:r>
        <w:rPr>
          <w:rFonts w:cs="Arial"/>
        </w:rPr>
        <w:instrText xml:space="preserve"> to </w:instrText>
      </w:r>
      <w:r w:rsidRPr="00161599">
        <w:rPr>
          <w:rFonts w:cs="Arial"/>
        </w:rPr>
        <w:instrText>2018 CMAQ annual mean total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concentrations.</w:instrText>
      </w:r>
      <w:bookmarkEnd w:id="4"/>
      <w:bookmarkEnd w:id="5"/>
      <w:bookmarkEnd w:id="6"/>
      <w:bookmarkEnd w:id="7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6F10C503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2CDF1113" wp14:editId="049ED076">
            <wp:extent cx="6048375" cy="604837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604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2FEE5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b/>
          <w:bCs/>
        </w:rPr>
        <w:t xml:space="preserve">Figure S3. </w:t>
      </w:r>
      <w:r w:rsidRPr="00161599">
        <w:rPr>
          <w:rFonts w:cs="Arial"/>
        </w:rPr>
        <w:t xml:space="preserve">Maps of </w:t>
      </w:r>
      <w:r>
        <w:rPr>
          <w:rFonts w:cs="Arial"/>
        </w:rPr>
        <w:t>2007 to 2018</w:t>
      </w:r>
      <w:r w:rsidRPr="00161599">
        <w:rPr>
          <w:rFonts w:cs="Arial"/>
        </w:rPr>
        <w:t xml:space="preserve"> CMAQ annual mean non-fire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8" w:name="_Toc163632899"/>
      <w:bookmarkStart w:id="9" w:name="_Toc164241955"/>
      <w:bookmarkStart w:id="10" w:name="_Toc164247696"/>
      <w:bookmarkStart w:id="11" w:name="_Toc165977713"/>
      <w:r w:rsidRPr="00161599">
        <w:rPr>
          <w:rFonts w:cs="Arial"/>
          <w:b/>
          <w:bCs/>
        </w:rPr>
        <w:instrText xml:space="preserve">Figure S3. </w:instrText>
      </w:r>
      <w:r w:rsidRPr="00161599">
        <w:rPr>
          <w:rFonts w:cs="Arial"/>
        </w:rPr>
        <w:instrText>Maps of 2007</w:instrText>
      </w:r>
      <w:r>
        <w:rPr>
          <w:rFonts w:cs="Arial"/>
        </w:rPr>
        <w:instrText xml:space="preserve"> to </w:instrText>
      </w:r>
      <w:r w:rsidRPr="00161599">
        <w:rPr>
          <w:rFonts w:cs="Arial"/>
        </w:rPr>
        <w:instrText>2018 CMAQ annual mean non-fire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concentrations.</w:instrText>
      </w:r>
      <w:bookmarkEnd w:id="8"/>
      <w:bookmarkEnd w:id="9"/>
      <w:bookmarkEnd w:id="10"/>
      <w:bookmarkEnd w:id="11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7DD98C4D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5BAFE814" wp14:editId="06671D5D">
            <wp:extent cx="6134100" cy="61341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E86295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b/>
          <w:bCs/>
        </w:rPr>
        <w:t xml:space="preserve">Figure S4. </w:t>
      </w:r>
      <w:r w:rsidRPr="00161599">
        <w:rPr>
          <w:rFonts w:cs="Arial"/>
        </w:rPr>
        <w:t xml:space="preserve">Maps of </w:t>
      </w:r>
      <w:r>
        <w:rPr>
          <w:rFonts w:cs="Arial"/>
        </w:rPr>
        <w:t>2007 to 2018</w:t>
      </w:r>
      <w:r w:rsidRPr="00161599">
        <w:rPr>
          <w:rFonts w:cs="Arial"/>
        </w:rPr>
        <w:t xml:space="preserve"> CMAQ annual mean wildland 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12" w:name="_Toc163632900"/>
      <w:bookmarkStart w:id="13" w:name="_Toc164241956"/>
      <w:bookmarkStart w:id="14" w:name="_Toc164247697"/>
      <w:bookmarkStart w:id="15" w:name="_Toc165977714"/>
      <w:r w:rsidRPr="00161599">
        <w:rPr>
          <w:rFonts w:cs="Arial"/>
          <w:b/>
          <w:bCs/>
        </w:rPr>
        <w:instrText xml:space="preserve">Figure S4. </w:instrText>
      </w:r>
      <w:r w:rsidRPr="00161599">
        <w:rPr>
          <w:rFonts w:cs="Arial"/>
        </w:rPr>
        <w:instrText>Maps of 2007</w:instrText>
      </w:r>
      <w:r>
        <w:rPr>
          <w:rFonts w:cs="Arial"/>
        </w:rPr>
        <w:instrText xml:space="preserve"> to </w:instrText>
      </w:r>
      <w:r w:rsidRPr="00161599">
        <w:rPr>
          <w:rFonts w:cs="Arial"/>
        </w:rPr>
        <w:instrText>2018 CMAQ annual mean wildland fire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concentrations.</w:instrText>
      </w:r>
      <w:bookmarkEnd w:id="12"/>
      <w:bookmarkEnd w:id="13"/>
      <w:bookmarkEnd w:id="14"/>
      <w:bookmarkEnd w:id="15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771AA44D" w14:textId="77777777" w:rsidR="000067F8" w:rsidRPr="00E95132" w:rsidRDefault="000067F8" w:rsidP="000067F8">
      <w:pPr>
        <w:rPr>
          <w:rFonts w:cs="Arial"/>
        </w:rPr>
      </w:pPr>
      <w:r w:rsidRPr="00161599">
        <w:rPr>
          <w:rFonts w:cs="Arial"/>
        </w:rPr>
        <w:t xml:space="preserve"> </w:t>
      </w:r>
    </w:p>
    <w:p w14:paraId="541E0453" w14:textId="77777777" w:rsidR="000067F8" w:rsidRPr="00161599" w:rsidRDefault="000067F8" w:rsidP="000067F8">
      <w:pPr>
        <w:keepNext/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3CDE20F2" wp14:editId="30A2CB8B">
            <wp:extent cx="5144770" cy="5176520"/>
            <wp:effectExtent l="0" t="0" r="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770" cy="517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8C2CA" w14:textId="77777777" w:rsidR="000067F8" w:rsidRPr="00161599" w:rsidRDefault="000067F8" w:rsidP="000067F8">
      <w:pPr>
        <w:pStyle w:val="Caption"/>
        <w:rPr>
          <w:rFonts w:cs="Arial"/>
        </w:rPr>
      </w:pPr>
      <w:r w:rsidRPr="00161599">
        <w:rPr>
          <w:rFonts w:cs="Arial"/>
          <w:b/>
        </w:rPr>
        <w:t>Figure S5.</w:t>
      </w:r>
      <w:r w:rsidRPr="00161599">
        <w:rPr>
          <w:rFonts w:cs="Arial"/>
        </w:rPr>
        <w:t xml:space="preserve"> Annual average total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in Census tracts where both wildland 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and non-fire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are in the top 50</w:t>
      </w:r>
      <w:r w:rsidRPr="00161599">
        <w:rPr>
          <w:rFonts w:cs="Arial"/>
          <w:vertAlign w:val="superscript"/>
        </w:rPr>
        <w:t>th</w:t>
      </w:r>
      <w:r w:rsidRPr="00161599">
        <w:rPr>
          <w:rFonts w:cs="Arial"/>
        </w:rPr>
        <w:t xml:space="preserve"> percentile annually of Census tracts in 2007 to 2018.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16" w:name="_Toc163632901"/>
      <w:bookmarkStart w:id="17" w:name="_Toc164241957"/>
      <w:bookmarkStart w:id="18" w:name="_Toc164247698"/>
      <w:bookmarkStart w:id="19" w:name="_Toc165977715"/>
      <w:r w:rsidRPr="00E95132">
        <w:rPr>
          <w:rFonts w:cs="Arial"/>
          <w:b/>
        </w:rPr>
        <w:instrText>Figure S5.</w:instrText>
      </w:r>
      <w:r w:rsidRPr="00E95132">
        <w:rPr>
          <w:rFonts w:cs="Arial"/>
        </w:rPr>
        <w:instrText xml:space="preserve"> Annual average total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in Census tracts where both wildland fire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and non-fire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concentrations are in the top 50</w:instrText>
      </w:r>
      <w:r w:rsidRPr="00E95132">
        <w:rPr>
          <w:rFonts w:cs="Arial"/>
          <w:vertAlign w:val="superscript"/>
        </w:rPr>
        <w:instrText>th</w:instrText>
      </w:r>
      <w:r w:rsidRPr="00E95132">
        <w:rPr>
          <w:rFonts w:cs="Arial"/>
        </w:rPr>
        <w:instrText xml:space="preserve"> percentile annually of Census tracts in 2007 to 2018.</w:instrText>
      </w:r>
      <w:bookmarkEnd w:id="16"/>
      <w:bookmarkEnd w:id="17"/>
      <w:bookmarkEnd w:id="18"/>
      <w:bookmarkEnd w:id="19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657582AB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70674EFD" wp14:editId="464E224A">
            <wp:extent cx="5943600" cy="4147185"/>
            <wp:effectExtent l="0" t="0" r="0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4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2B84E" w14:textId="77777777" w:rsidR="000067F8" w:rsidRDefault="000067F8" w:rsidP="000067F8">
      <w:pPr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 xml:space="preserve">Figure S6. </w:t>
      </w:r>
      <w:r w:rsidRPr="00161599">
        <w:rPr>
          <w:rFonts w:cs="Arial"/>
        </w:rPr>
        <w:t xml:space="preserve">Count of people living in contiguous US Census tracts with annual means exceeding 9.6 </w:t>
      </w:r>
      <w:r w:rsidRPr="00161599">
        <w:rPr>
          <w:rFonts w:cs="Arial"/>
          <w:lang w:val="el-GR"/>
        </w:rPr>
        <w:t>μ</w:t>
      </w:r>
      <w:r w:rsidRPr="00161599">
        <w:rPr>
          <w:rFonts w:cs="Arial"/>
        </w:rPr>
        <w:t>g/m</w:t>
      </w:r>
      <w:r w:rsidRPr="00161599">
        <w:rPr>
          <w:rFonts w:cs="Arial"/>
          <w:vertAlign w:val="superscript"/>
        </w:rPr>
        <w:t xml:space="preserve">3 </w:t>
      </w:r>
      <w:r w:rsidRPr="00161599">
        <w:rPr>
          <w:rFonts w:cs="Arial"/>
        </w:rPr>
        <w:t>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(i.e., the overall 2007 to 2018 population weighted mean), considering total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and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from non-fire sources from 2007 to 2018. Light blue denotes people living in Census tracts that would not be above the 9.6 </w:t>
      </w:r>
      <w:r w:rsidRPr="00161599">
        <w:rPr>
          <w:rFonts w:cs="Arial"/>
          <w:lang w:val="el-GR"/>
        </w:rPr>
        <w:t>μ</w:t>
      </w:r>
      <w:r w:rsidRPr="00161599">
        <w:rPr>
          <w:rFonts w:cs="Arial"/>
        </w:rPr>
        <w:t>g/m</w:t>
      </w:r>
      <w:r w:rsidRPr="00161599">
        <w:rPr>
          <w:rFonts w:cs="Arial"/>
          <w:vertAlign w:val="superscript"/>
        </w:rPr>
        <w:t xml:space="preserve">3 </w:t>
      </w:r>
      <w:r w:rsidRPr="00161599">
        <w:rPr>
          <w:rFonts w:cs="Arial"/>
        </w:rPr>
        <w:t>threshold if not for contributions from wildland fires.</w:t>
      </w:r>
    </w:p>
    <w:p w14:paraId="17056E8A" w14:textId="77777777" w:rsidR="000067F8" w:rsidRDefault="000067F8" w:rsidP="000067F8">
      <w:pPr>
        <w:spacing w:line="259" w:lineRule="auto"/>
        <w:rPr>
          <w:rFonts w:cs="Arial"/>
        </w:rPr>
      </w:pPr>
      <w:r>
        <w:rPr>
          <w:rFonts w:cs="Arial"/>
        </w:rPr>
        <w:br w:type="page"/>
      </w:r>
    </w:p>
    <w:p w14:paraId="466E74AE" w14:textId="77777777" w:rsidR="000067F8" w:rsidRPr="00161599" w:rsidRDefault="000067F8" w:rsidP="000067F8">
      <w:pPr>
        <w:spacing w:line="240" w:lineRule="auto"/>
        <w:rPr>
          <w:rFonts w:cs="Arial"/>
        </w:rPr>
      </w:pPr>
      <w:r w:rsidRPr="00161599">
        <w:rPr>
          <w:rFonts w:cs="Arial"/>
        </w:rPr>
        <w:lastRenderedPageBreak/>
        <w:fldChar w:fldCharType="begin"/>
      </w:r>
      <w:r w:rsidRPr="00161599">
        <w:rPr>
          <w:rFonts w:cs="Arial"/>
        </w:rPr>
        <w:instrText xml:space="preserve"> TC "</w:instrText>
      </w:r>
      <w:bookmarkStart w:id="20" w:name="_Toc163632902"/>
      <w:bookmarkStart w:id="21" w:name="_Toc164241958"/>
      <w:bookmarkStart w:id="22" w:name="_Toc164247699"/>
      <w:bookmarkStart w:id="23" w:name="_Toc165977716"/>
      <w:r w:rsidRPr="00161599">
        <w:rPr>
          <w:rFonts w:cs="Arial"/>
          <w:b/>
          <w:bCs/>
        </w:rPr>
        <w:instrText xml:space="preserve">Figure S6. </w:instrText>
      </w:r>
      <w:r w:rsidRPr="00161599">
        <w:rPr>
          <w:rFonts w:cs="Arial"/>
        </w:rPr>
        <w:instrText xml:space="preserve">Count of people living in contiguous US Census tracts with annual means exceeding 9.6 </w:instrText>
      </w:r>
      <w:r w:rsidRPr="00161599">
        <w:rPr>
          <w:rFonts w:cs="Arial"/>
          <w:lang w:val="el-GR"/>
        </w:rPr>
        <w:instrText>μ</w:instrText>
      </w:r>
      <w:r w:rsidRPr="00161599">
        <w:rPr>
          <w:rFonts w:cs="Arial"/>
        </w:rPr>
        <w:instrText>g/m</w:instrText>
      </w:r>
      <w:r w:rsidRPr="00161599">
        <w:rPr>
          <w:rFonts w:cs="Arial"/>
          <w:vertAlign w:val="superscript"/>
        </w:rPr>
        <w:instrText xml:space="preserve">3 </w:instrText>
      </w:r>
      <w:r w:rsidRPr="00161599">
        <w:rPr>
          <w:rFonts w:cs="Arial"/>
        </w:rPr>
        <w:instrText>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(i.e., the overall 2007 to 2018 population weighted mean), considering total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and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from non-fire sources from 2007 to 2018. Light blue denotes people living in Census tracts that would not be above the 9.6 </w:instrText>
      </w:r>
      <w:r w:rsidRPr="00161599">
        <w:rPr>
          <w:rFonts w:cs="Arial"/>
          <w:lang w:val="el-GR"/>
        </w:rPr>
        <w:instrText>μ</w:instrText>
      </w:r>
      <w:r w:rsidRPr="00161599">
        <w:rPr>
          <w:rFonts w:cs="Arial"/>
        </w:rPr>
        <w:instrText>g/m</w:instrText>
      </w:r>
      <w:r w:rsidRPr="00161599">
        <w:rPr>
          <w:rFonts w:cs="Arial"/>
          <w:vertAlign w:val="superscript"/>
        </w:rPr>
        <w:instrText xml:space="preserve">3 </w:instrText>
      </w:r>
      <w:r w:rsidRPr="00161599">
        <w:rPr>
          <w:rFonts w:cs="Arial"/>
        </w:rPr>
        <w:instrText>threshold if not for contributions from wildland fires.</w:instrText>
      </w:r>
      <w:bookmarkEnd w:id="20"/>
      <w:bookmarkEnd w:id="21"/>
      <w:bookmarkEnd w:id="22"/>
      <w:bookmarkEnd w:id="23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  <w:r w:rsidRPr="00161599">
        <w:rPr>
          <w:rFonts w:cs="Arial"/>
          <w:b/>
          <w:bCs/>
        </w:rPr>
        <w:t xml:space="preserve">Table S1. </w:t>
      </w:r>
      <w:r w:rsidRPr="00161599">
        <w:rPr>
          <w:rFonts w:cs="Arial"/>
        </w:rPr>
        <w:t>Correlation (Pearson’s r) between census tract-level annual mean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for each dataset included in this study, overall in 2007 to 2018.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24" w:name="_Toc164242088"/>
      <w:bookmarkStart w:id="25" w:name="_Toc164247687"/>
      <w:bookmarkStart w:id="26" w:name="_Toc165962338"/>
      <w:r w:rsidRPr="00161599">
        <w:rPr>
          <w:rFonts w:cs="Arial"/>
          <w:b/>
          <w:bCs/>
        </w:rPr>
        <w:instrText xml:space="preserve">Table S1. </w:instrText>
      </w:r>
      <w:r w:rsidRPr="00161599">
        <w:rPr>
          <w:rFonts w:cs="Arial"/>
        </w:rPr>
        <w:instrText>Correlation (Pearson’s r) between census tract-level annual mean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for each dataset included in this study, overall in 2007 to 2018.</w:instrText>
      </w:r>
      <w:bookmarkEnd w:id="24"/>
      <w:bookmarkEnd w:id="25"/>
      <w:bookmarkEnd w:id="26"/>
      <w:r w:rsidRPr="00161599">
        <w:rPr>
          <w:rFonts w:cs="Arial"/>
        </w:rPr>
        <w:instrText xml:space="preserve">" \f C \l "1" </w:instrText>
      </w:r>
      <w:r w:rsidRPr="00161599">
        <w:rPr>
          <w:rFonts w:cs="Arial"/>
        </w:rPr>
        <w:fldChar w:fldCharType="end"/>
      </w:r>
    </w:p>
    <w:tbl>
      <w:tblPr>
        <w:tblStyle w:val="PlainTable1"/>
        <w:tblW w:w="9085" w:type="dxa"/>
        <w:tblLook w:val="04A0" w:firstRow="1" w:lastRow="0" w:firstColumn="1" w:lastColumn="0" w:noHBand="0" w:noVBand="1"/>
      </w:tblPr>
      <w:tblGrid>
        <w:gridCol w:w="3191"/>
        <w:gridCol w:w="2310"/>
        <w:gridCol w:w="1228"/>
        <w:gridCol w:w="1077"/>
        <w:gridCol w:w="1279"/>
      </w:tblGrid>
      <w:tr w:rsidR="000067F8" w:rsidRPr="00161599" w14:paraId="134A725C" w14:textId="77777777" w:rsidTr="00F76A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noWrap/>
            <w:vAlign w:val="center"/>
            <w:hideMark/>
          </w:tcPr>
          <w:p w14:paraId="167F1B2B" w14:textId="77777777" w:rsidR="000067F8" w:rsidRPr="00E95132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0" w:type="dxa"/>
            <w:noWrap/>
            <w:vAlign w:val="center"/>
            <w:hideMark/>
          </w:tcPr>
          <w:p w14:paraId="2541FFF0" w14:textId="77777777" w:rsidR="000067F8" w:rsidRPr="00E95132" w:rsidRDefault="000067F8" w:rsidP="00F76A4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Total PM2.5</w:t>
            </w:r>
          </w:p>
        </w:tc>
        <w:tc>
          <w:tcPr>
            <w:tcW w:w="0" w:type="dxa"/>
            <w:noWrap/>
            <w:vAlign w:val="center"/>
            <w:hideMark/>
          </w:tcPr>
          <w:p w14:paraId="70046051" w14:textId="77777777" w:rsidR="000067F8" w:rsidRPr="00E95132" w:rsidRDefault="000067F8" w:rsidP="00F76A4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No Fire PM2.5</w:t>
            </w:r>
          </w:p>
        </w:tc>
        <w:tc>
          <w:tcPr>
            <w:tcW w:w="0" w:type="dxa"/>
            <w:noWrap/>
            <w:vAlign w:val="center"/>
            <w:hideMark/>
          </w:tcPr>
          <w:p w14:paraId="72F0043A" w14:textId="77777777" w:rsidR="000067F8" w:rsidRPr="00E95132" w:rsidRDefault="000067F8" w:rsidP="00F76A4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Fire PM</w:t>
            </w:r>
            <w:r w:rsidRPr="00E95132">
              <w:rPr>
                <w:rFonts w:eastAsia="Times New Roman" w:cs="Arial"/>
                <w:color w:val="000000"/>
                <w:vertAlign w:val="subscript"/>
              </w:rPr>
              <w:t>2.5</w:t>
            </w:r>
          </w:p>
        </w:tc>
        <w:tc>
          <w:tcPr>
            <w:tcW w:w="0" w:type="dxa"/>
            <w:noWrap/>
            <w:vAlign w:val="center"/>
            <w:hideMark/>
          </w:tcPr>
          <w:p w14:paraId="7CDF0832" w14:textId="77777777" w:rsidR="000067F8" w:rsidRPr="00E95132" w:rsidRDefault="000067F8" w:rsidP="00F76A4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Childs Fire PM</w:t>
            </w:r>
            <w:r w:rsidRPr="00E95132">
              <w:rPr>
                <w:rFonts w:eastAsia="Times New Roman" w:cs="Arial"/>
                <w:color w:val="000000"/>
                <w:vertAlign w:val="subscript"/>
              </w:rPr>
              <w:t>2.5</w:t>
            </w:r>
          </w:p>
        </w:tc>
      </w:tr>
      <w:tr w:rsidR="000067F8" w:rsidRPr="00161599" w14:paraId="4D77C30B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65" w:type="dxa"/>
            <w:noWrap/>
            <w:vAlign w:val="center"/>
            <w:hideMark/>
          </w:tcPr>
          <w:p w14:paraId="2A11E134" w14:textId="77777777" w:rsidR="000067F8" w:rsidRPr="00E95132" w:rsidRDefault="000067F8" w:rsidP="00F76A4D">
            <w:pPr>
              <w:jc w:val="center"/>
              <w:rPr>
                <w:rFonts w:cs="Arial"/>
                <w:noProof/>
              </w:rPr>
            </w:pPr>
            <w:r w:rsidRPr="00E95132">
              <w:rPr>
                <w:rFonts w:cs="Arial"/>
                <w:noProof/>
              </w:rPr>
              <w:t>Total PM2.5</w:t>
            </w:r>
          </w:p>
        </w:tc>
        <w:tc>
          <w:tcPr>
            <w:tcW w:w="1495" w:type="dxa"/>
            <w:noWrap/>
            <w:vAlign w:val="center"/>
            <w:hideMark/>
          </w:tcPr>
          <w:p w14:paraId="0AF9610F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1.00</w:t>
            </w:r>
          </w:p>
        </w:tc>
        <w:tc>
          <w:tcPr>
            <w:tcW w:w="0" w:type="dxa"/>
            <w:noWrap/>
            <w:vAlign w:val="center"/>
            <w:hideMark/>
          </w:tcPr>
          <w:p w14:paraId="1C0D35C6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</w:p>
        </w:tc>
        <w:tc>
          <w:tcPr>
            <w:tcW w:w="0" w:type="dxa"/>
            <w:noWrap/>
            <w:vAlign w:val="center"/>
            <w:hideMark/>
          </w:tcPr>
          <w:p w14:paraId="41D49EAF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</w:p>
        </w:tc>
        <w:tc>
          <w:tcPr>
            <w:tcW w:w="0" w:type="dxa"/>
            <w:noWrap/>
            <w:vAlign w:val="center"/>
            <w:hideMark/>
          </w:tcPr>
          <w:p w14:paraId="14D86A6E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</w:p>
        </w:tc>
      </w:tr>
      <w:tr w:rsidR="000067F8" w:rsidRPr="00161599" w14:paraId="67EAC07B" w14:textId="77777777" w:rsidTr="00F76A4D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noWrap/>
            <w:vAlign w:val="center"/>
            <w:hideMark/>
          </w:tcPr>
          <w:p w14:paraId="068268F9" w14:textId="77777777" w:rsidR="000067F8" w:rsidRPr="00E95132" w:rsidRDefault="000067F8" w:rsidP="00F76A4D">
            <w:pPr>
              <w:jc w:val="center"/>
              <w:rPr>
                <w:rFonts w:cs="Arial"/>
                <w:noProof/>
              </w:rPr>
            </w:pPr>
            <w:r w:rsidRPr="00E95132">
              <w:rPr>
                <w:rFonts w:cs="Arial"/>
                <w:noProof/>
              </w:rPr>
              <w:t>No Fire PM2.5</w:t>
            </w:r>
          </w:p>
        </w:tc>
        <w:tc>
          <w:tcPr>
            <w:tcW w:w="0" w:type="dxa"/>
            <w:noWrap/>
            <w:vAlign w:val="center"/>
            <w:hideMark/>
          </w:tcPr>
          <w:p w14:paraId="5401C21E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0.92</w:t>
            </w:r>
          </w:p>
        </w:tc>
        <w:tc>
          <w:tcPr>
            <w:tcW w:w="0" w:type="dxa"/>
            <w:noWrap/>
            <w:vAlign w:val="center"/>
            <w:hideMark/>
          </w:tcPr>
          <w:p w14:paraId="6280D270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1.00</w:t>
            </w:r>
          </w:p>
        </w:tc>
        <w:tc>
          <w:tcPr>
            <w:tcW w:w="0" w:type="dxa"/>
            <w:noWrap/>
            <w:vAlign w:val="center"/>
            <w:hideMark/>
          </w:tcPr>
          <w:p w14:paraId="0315EEDA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</w:p>
        </w:tc>
        <w:tc>
          <w:tcPr>
            <w:tcW w:w="0" w:type="dxa"/>
            <w:noWrap/>
            <w:vAlign w:val="center"/>
            <w:hideMark/>
          </w:tcPr>
          <w:p w14:paraId="7B78E4B4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</w:p>
        </w:tc>
      </w:tr>
      <w:tr w:rsidR="000067F8" w:rsidRPr="00161599" w14:paraId="009DC03F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65" w:type="dxa"/>
            <w:noWrap/>
            <w:vAlign w:val="center"/>
            <w:hideMark/>
          </w:tcPr>
          <w:p w14:paraId="33E71F9A" w14:textId="77777777" w:rsidR="000067F8" w:rsidRPr="00E95132" w:rsidRDefault="000067F8" w:rsidP="00F76A4D">
            <w:pPr>
              <w:jc w:val="center"/>
              <w:rPr>
                <w:rFonts w:cs="Arial"/>
                <w:noProof/>
              </w:rPr>
            </w:pPr>
            <w:r w:rsidRPr="00E95132">
              <w:rPr>
                <w:rFonts w:cs="Arial"/>
                <w:noProof/>
              </w:rPr>
              <w:t>Fire PM2.5</w:t>
            </w:r>
          </w:p>
        </w:tc>
        <w:tc>
          <w:tcPr>
            <w:tcW w:w="1495" w:type="dxa"/>
            <w:noWrap/>
            <w:vAlign w:val="center"/>
            <w:hideMark/>
          </w:tcPr>
          <w:p w14:paraId="44B42685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0.20</w:t>
            </w:r>
          </w:p>
        </w:tc>
        <w:tc>
          <w:tcPr>
            <w:tcW w:w="0" w:type="dxa"/>
            <w:noWrap/>
            <w:vAlign w:val="center"/>
            <w:hideMark/>
          </w:tcPr>
          <w:p w14:paraId="4E369269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-0.19</w:t>
            </w:r>
          </w:p>
        </w:tc>
        <w:tc>
          <w:tcPr>
            <w:tcW w:w="0" w:type="dxa"/>
            <w:noWrap/>
            <w:vAlign w:val="center"/>
            <w:hideMark/>
          </w:tcPr>
          <w:p w14:paraId="1E9B94AC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1.00</w:t>
            </w:r>
          </w:p>
        </w:tc>
        <w:tc>
          <w:tcPr>
            <w:tcW w:w="0" w:type="dxa"/>
            <w:noWrap/>
            <w:vAlign w:val="center"/>
            <w:hideMark/>
          </w:tcPr>
          <w:p w14:paraId="51A34BBF" w14:textId="77777777" w:rsidR="000067F8" w:rsidRPr="00E95132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</w:p>
        </w:tc>
      </w:tr>
      <w:tr w:rsidR="000067F8" w:rsidRPr="00161599" w14:paraId="39537C8A" w14:textId="77777777" w:rsidTr="00F76A4D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dxa"/>
            <w:noWrap/>
            <w:vAlign w:val="center"/>
            <w:hideMark/>
          </w:tcPr>
          <w:p w14:paraId="3EE4ECE8" w14:textId="77777777" w:rsidR="000067F8" w:rsidRPr="00E95132" w:rsidRDefault="000067F8" w:rsidP="00F76A4D">
            <w:pPr>
              <w:jc w:val="center"/>
              <w:rPr>
                <w:rFonts w:cs="Arial"/>
                <w:noProof/>
              </w:rPr>
            </w:pPr>
            <w:r w:rsidRPr="00E95132">
              <w:rPr>
                <w:rFonts w:cs="Arial"/>
                <w:noProof/>
              </w:rPr>
              <w:t>Childs Fire PM2.5</w:t>
            </w:r>
          </w:p>
        </w:tc>
        <w:tc>
          <w:tcPr>
            <w:tcW w:w="0" w:type="dxa"/>
            <w:noWrap/>
            <w:vAlign w:val="center"/>
            <w:hideMark/>
          </w:tcPr>
          <w:p w14:paraId="6F6146B6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0.14</w:t>
            </w:r>
          </w:p>
        </w:tc>
        <w:tc>
          <w:tcPr>
            <w:tcW w:w="0" w:type="dxa"/>
            <w:noWrap/>
            <w:vAlign w:val="center"/>
            <w:hideMark/>
          </w:tcPr>
          <w:p w14:paraId="01E2B5E6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-0.01</w:t>
            </w:r>
          </w:p>
        </w:tc>
        <w:tc>
          <w:tcPr>
            <w:tcW w:w="0" w:type="dxa"/>
            <w:noWrap/>
            <w:vAlign w:val="center"/>
            <w:hideMark/>
          </w:tcPr>
          <w:p w14:paraId="7168DCBE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0.49</w:t>
            </w:r>
          </w:p>
        </w:tc>
        <w:tc>
          <w:tcPr>
            <w:tcW w:w="0" w:type="dxa"/>
            <w:noWrap/>
            <w:vAlign w:val="center"/>
            <w:hideMark/>
          </w:tcPr>
          <w:p w14:paraId="5EE95AF6" w14:textId="77777777" w:rsidR="000067F8" w:rsidRPr="00E95132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</w:rPr>
            </w:pPr>
            <w:r w:rsidRPr="00E95132">
              <w:rPr>
                <w:rFonts w:eastAsia="Times New Roman" w:cs="Arial"/>
                <w:color w:val="000000"/>
              </w:rPr>
              <w:t>1.00</w:t>
            </w:r>
          </w:p>
        </w:tc>
      </w:tr>
    </w:tbl>
    <w:p w14:paraId="52DD868F" w14:textId="77777777" w:rsidR="000067F8" w:rsidRPr="00161599" w:rsidRDefault="000067F8" w:rsidP="000067F8">
      <w:pPr>
        <w:spacing w:after="0"/>
        <w:jc w:val="center"/>
        <w:rPr>
          <w:rFonts w:cs="Arial"/>
          <w:b/>
          <w:bCs/>
        </w:rPr>
      </w:pPr>
    </w:p>
    <w:p w14:paraId="17800048" w14:textId="77777777" w:rsidR="000067F8" w:rsidRPr="00E95132" w:rsidRDefault="000067F8" w:rsidP="000067F8">
      <w:pPr>
        <w:rPr>
          <w:rFonts w:cs="Arial"/>
        </w:rPr>
      </w:pPr>
    </w:p>
    <w:p w14:paraId="249785F3" w14:textId="77777777" w:rsidR="000067F8" w:rsidRPr="00161599" w:rsidRDefault="000067F8" w:rsidP="000067F8">
      <w:pPr>
        <w:rPr>
          <w:rFonts w:cs="Arial"/>
        </w:rPr>
      </w:pPr>
    </w:p>
    <w:p w14:paraId="63FA932B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</w:rPr>
        <w:br w:type="page"/>
      </w:r>
    </w:p>
    <w:p w14:paraId="1EECB4EF" w14:textId="77777777" w:rsidR="000067F8" w:rsidRPr="00161599" w:rsidRDefault="000067F8" w:rsidP="000067F8">
      <w:pPr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lastRenderedPageBreak/>
        <w:t xml:space="preserve">Table S2. </w:t>
      </w:r>
      <w:r w:rsidRPr="00161599">
        <w:rPr>
          <w:rFonts w:cs="Arial"/>
        </w:rPr>
        <w:t>Population living in Census tracts with greater than the 2007 to 2018 population weighted mean no 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(8.7 µg/m³)</w:t>
      </w:r>
      <w:r w:rsidRPr="00161599">
        <w:rPr>
          <w:rFonts w:cs="Arial"/>
          <w:vertAlign w:val="subscript"/>
        </w:rPr>
        <w:t>,</w:t>
      </w:r>
      <w:r w:rsidRPr="00161599">
        <w:rPr>
          <w:rFonts w:cs="Arial"/>
        </w:rPr>
        <w:t xml:space="preserve"> fire PM</w:t>
      </w:r>
      <w:r w:rsidRPr="00161599">
        <w:rPr>
          <w:rFonts w:cs="Arial"/>
          <w:vertAlign w:val="subscript"/>
        </w:rPr>
        <w:t xml:space="preserve">2.5 </w:t>
      </w:r>
      <w:r w:rsidRPr="00161599">
        <w:rPr>
          <w:rFonts w:cs="Arial"/>
        </w:rPr>
        <w:t>(0.88 µg/m³), and both fire and no 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population weighted means by National Climate Assessment (NCA) regions, primary Rural Urban Commuting Area codes (RUCA), racial and ethnic groups, language spoken at home, and quintiles of per-capita income.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27" w:name="_Toc164242089"/>
      <w:bookmarkStart w:id="28" w:name="_Toc164247688"/>
      <w:bookmarkStart w:id="29" w:name="_Toc165962339"/>
      <w:r w:rsidRPr="00161599">
        <w:rPr>
          <w:rFonts w:cs="Arial"/>
          <w:b/>
          <w:bCs/>
        </w:rPr>
        <w:instrText xml:space="preserve">Table S2. </w:instrText>
      </w:r>
      <w:r w:rsidRPr="00161599">
        <w:rPr>
          <w:rFonts w:cs="Arial"/>
        </w:rPr>
        <w:instrText>Population living in Census tracts with greater than the 2007 to 2018 population weighted mean no fire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(8.7 µg/m³)</w:instrText>
      </w:r>
      <w:r w:rsidRPr="00161599">
        <w:rPr>
          <w:rFonts w:cs="Arial"/>
          <w:vertAlign w:val="subscript"/>
        </w:rPr>
        <w:instrText>,</w:instrText>
      </w:r>
      <w:r w:rsidRPr="00161599">
        <w:rPr>
          <w:rFonts w:cs="Arial"/>
        </w:rPr>
        <w:instrText xml:space="preserve"> fire PM</w:instrText>
      </w:r>
      <w:r w:rsidRPr="00161599">
        <w:rPr>
          <w:rFonts w:cs="Arial"/>
          <w:vertAlign w:val="subscript"/>
        </w:rPr>
        <w:instrText xml:space="preserve">2.5 </w:instrText>
      </w:r>
      <w:r w:rsidRPr="00161599">
        <w:rPr>
          <w:rFonts w:cs="Arial"/>
        </w:rPr>
        <w:instrText>(0.88 µg/m³), and both fire and no fire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population weighted means by National Climate Assessment (NCA) regions, primary Rural Urban Commuting Area codes (RUCA), racial and ethnic groups, language spoken at home, and quintiles of per-capita income.</w:instrText>
      </w:r>
      <w:bookmarkEnd w:id="27"/>
      <w:bookmarkEnd w:id="28"/>
      <w:bookmarkEnd w:id="29"/>
      <w:r w:rsidRPr="00161599">
        <w:rPr>
          <w:rFonts w:cs="Arial"/>
        </w:rPr>
        <w:instrText xml:space="preserve">" \f C \l "1" </w:instrText>
      </w:r>
      <w:r w:rsidRPr="00161599">
        <w:rPr>
          <w:rFonts w:cs="Arial"/>
        </w:rPr>
        <w:fldChar w:fldCharType="end"/>
      </w:r>
    </w:p>
    <w:tbl>
      <w:tblPr>
        <w:tblStyle w:val="PlainTable1"/>
        <w:tblW w:w="9265" w:type="dxa"/>
        <w:tblLayout w:type="fixed"/>
        <w:tblLook w:val="04A0" w:firstRow="1" w:lastRow="0" w:firstColumn="1" w:lastColumn="0" w:noHBand="0" w:noVBand="1"/>
      </w:tblPr>
      <w:tblGrid>
        <w:gridCol w:w="1577"/>
        <w:gridCol w:w="1596"/>
        <w:gridCol w:w="1476"/>
        <w:gridCol w:w="1903"/>
        <w:gridCol w:w="1586"/>
        <w:gridCol w:w="1127"/>
      </w:tblGrid>
      <w:tr w:rsidR="000067F8" w:rsidRPr="00161599" w14:paraId="2583BB46" w14:textId="77777777" w:rsidTr="00F76A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73" w:type="dxa"/>
            <w:gridSpan w:val="2"/>
            <w:vAlign w:val="center"/>
            <w:hideMark/>
          </w:tcPr>
          <w:p w14:paraId="79E60645" w14:textId="77777777" w:rsidR="000067F8" w:rsidRPr="00161599" w:rsidRDefault="000067F8" w:rsidP="00F76A4D">
            <w:pPr>
              <w:spacing w:line="240" w:lineRule="auto"/>
              <w:jc w:val="center"/>
              <w:rPr>
                <w:rFonts w:cs="Arial"/>
                <w:noProof/>
              </w:rPr>
            </w:pPr>
          </w:p>
        </w:tc>
        <w:tc>
          <w:tcPr>
            <w:tcW w:w="1476" w:type="dxa"/>
            <w:vAlign w:val="center"/>
            <w:hideMark/>
          </w:tcPr>
          <w:p w14:paraId="088B6FEB" w14:textId="77777777" w:rsidR="000067F8" w:rsidRPr="00161599" w:rsidRDefault="000067F8" w:rsidP="00F76A4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Overall</w:t>
            </w:r>
          </w:p>
        </w:tc>
        <w:tc>
          <w:tcPr>
            <w:tcW w:w="1903" w:type="dxa"/>
            <w:vAlign w:val="center"/>
            <w:hideMark/>
          </w:tcPr>
          <w:p w14:paraId="68513EBE" w14:textId="77777777" w:rsidR="000067F8" w:rsidRPr="00161599" w:rsidRDefault="000067F8" w:rsidP="00F76A4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 xml:space="preserve">High No Fire </w:t>
            </w:r>
            <w:r w:rsidRPr="00161599">
              <w:rPr>
                <w:rFonts w:cs="Arial"/>
              </w:rPr>
              <w:t>PM</w:t>
            </w:r>
            <w:r w:rsidRPr="00161599">
              <w:rPr>
                <w:rFonts w:cs="Arial"/>
                <w:vertAlign w:val="subscript"/>
              </w:rPr>
              <w:t>2.5</w:t>
            </w:r>
          </w:p>
        </w:tc>
        <w:tc>
          <w:tcPr>
            <w:tcW w:w="1586" w:type="dxa"/>
            <w:vAlign w:val="center"/>
            <w:hideMark/>
          </w:tcPr>
          <w:p w14:paraId="0FE0FDF5" w14:textId="77777777" w:rsidR="000067F8" w:rsidRPr="00161599" w:rsidRDefault="000067F8" w:rsidP="00F76A4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 xml:space="preserve">High Fire </w:t>
            </w:r>
            <w:r w:rsidRPr="00161599">
              <w:rPr>
                <w:rFonts w:cs="Arial"/>
              </w:rPr>
              <w:t>PM</w:t>
            </w:r>
            <w:r w:rsidRPr="00161599">
              <w:rPr>
                <w:rFonts w:cs="Arial"/>
                <w:vertAlign w:val="subscript"/>
              </w:rPr>
              <w:t>2.5</w:t>
            </w:r>
          </w:p>
        </w:tc>
        <w:tc>
          <w:tcPr>
            <w:tcW w:w="1127" w:type="dxa"/>
            <w:vAlign w:val="center"/>
            <w:hideMark/>
          </w:tcPr>
          <w:p w14:paraId="457B47F1" w14:textId="77777777" w:rsidR="000067F8" w:rsidRPr="00161599" w:rsidRDefault="000067F8" w:rsidP="00F76A4D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High Both</w:t>
            </w:r>
          </w:p>
        </w:tc>
      </w:tr>
      <w:tr w:rsidR="000067F8" w:rsidRPr="00161599" w14:paraId="64E2F556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73" w:type="dxa"/>
            <w:gridSpan w:val="2"/>
            <w:vAlign w:val="center"/>
            <w:hideMark/>
          </w:tcPr>
          <w:p w14:paraId="49B43449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Overall population count</w:t>
            </w:r>
          </w:p>
        </w:tc>
        <w:tc>
          <w:tcPr>
            <w:tcW w:w="1476" w:type="dxa"/>
            <w:vAlign w:val="center"/>
            <w:hideMark/>
          </w:tcPr>
          <w:p w14:paraId="2146B5C7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306,675,006</w:t>
            </w:r>
          </w:p>
        </w:tc>
        <w:tc>
          <w:tcPr>
            <w:tcW w:w="1903" w:type="dxa"/>
            <w:vAlign w:val="center"/>
            <w:hideMark/>
          </w:tcPr>
          <w:p w14:paraId="30B8644B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153,110,004</w:t>
            </w:r>
          </w:p>
        </w:tc>
        <w:tc>
          <w:tcPr>
            <w:tcW w:w="1586" w:type="dxa"/>
            <w:vAlign w:val="center"/>
            <w:hideMark/>
          </w:tcPr>
          <w:p w14:paraId="2CEC5249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121,820,264</w:t>
            </w:r>
          </w:p>
        </w:tc>
        <w:tc>
          <w:tcPr>
            <w:tcW w:w="1127" w:type="dxa"/>
            <w:vAlign w:val="center"/>
            <w:hideMark/>
          </w:tcPr>
          <w:p w14:paraId="011D877A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44,871,863</w:t>
            </w:r>
          </w:p>
        </w:tc>
      </w:tr>
      <w:tr w:rsidR="000067F8" w:rsidRPr="00161599" w14:paraId="3C23211D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 w:val="restart"/>
            <w:vAlign w:val="center"/>
            <w:hideMark/>
          </w:tcPr>
          <w:p w14:paraId="71EACFEA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NCA Region (%)</w:t>
            </w:r>
          </w:p>
        </w:tc>
        <w:tc>
          <w:tcPr>
            <w:tcW w:w="1596" w:type="dxa"/>
            <w:vAlign w:val="center"/>
            <w:hideMark/>
          </w:tcPr>
          <w:p w14:paraId="583729FC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Midwest</w:t>
            </w:r>
          </w:p>
        </w:tc>
        <w:tc>
          <w:tcPr>
            <w:tcW w:w="1476" w:type="dxa"/>
            <w:vAlign w:val="center"/>
            <w:hideMark/>
          </w:tcPr>
          <w:p w14:paraId="57528AA0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19.8</w:t>
            </w:r>
          </w:p>
        </w:tc>
        <w:tc>
          <w:tcPr>
            <w:tcW w:w="1903" w:type="dxa"/>
            <w:vAlign w:val="center"/>
            <w:hideMark/>
          </w:tcPr>
          <w:p w14:paraId="149D136A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32.2</w:t>
            </w:r>
          </w:p>
        </w:tc>
        <w:tc>
          <w:tcPr>
            <w:tcW w:w="1586" w:type="dxa"/>
            <w:vAlign w:val="center"/>
            <w:hideMark/>
          </w:tcPr>
          <w:p w14:paraId="68FE8393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6.7</w:t>
            </w:r>
          </w:p>
        </w:tc>
        <w:tc>
          <w:tcPr>
            <w:tcW w:w="1127" w:type="dxa"/>
            <w:vAlign w:val="center"/>
            <w:hideMark/>
          </w:tcPr>
          <w:p w14:paraId="070A95D8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10.7</w:t>
            </w:r>
          </w:p>
        </w:tc>
      </w:tr>
      <w:tr w:rsidR="000067F8" w:rsidRPr="00161599" w14:paraId="17F94590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2ABA1E5E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412BC4E7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Northeast</w:t>
            </w:r>
          </w:p>
        </w:tc>
        <w:tc>
          <w:tcPr>
            <w:tcW w:w="1476" w:type="dxa"/>
            <w:vAlign w:val="center"/>
            <w:hideMark/>
          </w:tcPr>
          <w:p w14:paraId="472DBA11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21.0</w:t>
            </w:r>
          </w:p>
        </w:tc>
        <w:tc>
          <w:tcPr>
            <w:tcW w:w="1903" w:type="dxa"/>
            <w:vAlign w:val="center"/>
            <w:hideMark/>
          </w:tcPr>
          <w:p w14:paraId="40480A73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23.9</w:t>
            </w:r>
          </w:p>
        </w:tc>
        <w:tc>
          <w:tcPr>
            <w:tcW w:w="1586" w:type="dxa"/>
            <w:vAlign w:val="center"/>
            <w:hideMark/>
          </w:tcPr>
          <w:p w14:paraId="26C5A350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1.2</w:t>
            </w:r>
          </w:p>
        </w:tc>
        <w:tc>
          <w:tcPr>
            <w:tcW w:w="1127" w:type="dxa"/>
            <w:vAlign w:val="center"/>
            <w:hideMark/>
          </w:tcPr>
          <w:p w14:paraId="0716FD1F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1.5</w:t>
            </w:r>
          </w:p>
        </w:tc>
      </w:tr>
      <w:tr w:rsidR="000067F8" w:rsidRPr="00161599" w14:paraId="544B57FD" w14:textId="77777777" w:rsidTr="00F76A4D">
        <w:trPr>
          <w:trHeight w:val="6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50EE5ABC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631BCBB1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Northern Great Plains</w:t>
            </w:r>
          </w:p>
        </w:tc>
        <w:tc>
          <w:tcPr>
            <w:tcW w:w="1476" w:type="dxa"/>
            <w:vAlign w:val="center"/>
            <w:hideMark/>
          </w:tcPr>
          <w:p w14:paraId="3C6226A2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1.6</w:t>
            </w:r>
          </w:p>
        </w:tc>
        <w:tc>
          <w:tcPr>
            <w:tcW w:w="1903" w:type="dxa"/>
            <w:vAlign w:val="center"/>
            <w:hideMark/>
          </w:tcPr>
          <w:p w14:paraId="1C70ECD2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0.2</w:t>
            </w:r>
          </w:p>
        </w:tc>
        <w:tc>
          <w:tcPr>
            <w:tcW w:w="1586" w:type="dxa"/>
            <w:vAlign w:val="center"/>
            <w:hideMark/>
          </w:tcPr>
          <w:p w14:paraId="3339F135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1.4</w:t>
            </w:r>
          </w:p>
        </w:tc>
        <w:tc>
          <w:tcPr>
            <w:tcW w:w="1127" w:type="dxa"/>
            <w:vAlign w:val="center"/>
            <w:hideMark/>
          </w:tcPr>
          <w:p w14:paraId="50E74B94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0.0</w:t>
            </w:r>
          </w:p>
        </w:tc>
      </w:tr>
      <w:tr w:rsidR="000067F8" w:rsidRPr="00161599" w14:paraId="259B8348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697B5BFA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3C846235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Northwest</w:t>
            </w:r>
          </w:p>
        </w:tc>
        <w:tc>
          <w:tcPr>
            <w:tcW w:w="1476" w:type="dxa"/>
            <w:vAlign w:val="center"/>
            <w:hideMark/>
          </w:tcPr>
          <w:p w14:paraId="3DB863AB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4.0</w:t>
            </w:r>
          </w:p>
        </w:tc>
        <w:tc>
          <w:tcPr>
            <w:tcW w:w="1903" w:type="dxa"/>
            <w:vAlign w:val="center"/>
            <w:hideMark/>
          </w:tcPr>
          <w:p w14:paraId="65D47DD9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0.0</w:t>
            </w:r>
          </w:p>
        </w:tc>
        <w:tc>
          <w:tcPr>
            <w:tcW w:w="1586" w:type="dxa"/>
            <w:vAlign w:val="center"/>
            <w:hideMark/>
          </w:tcPr>
          <w:p w14:paraId="23ECC8CC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5.9</w:t>
            </w:r>
          </w:p>
        </w:tc>
        <w:tc>
          <w:tcPr>
            <w:tcW w:w="1127" w:type="dxa"/>
            <w:vAlign w:val="center"/>
            <w:hideMark/>
          </w:tcPr>
          <w:p w14:paraId="4DE00137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0.0</w:t>
            </w:r>
          </w:p>
        </w:tc>
      </w:tr>
      <w:tr w:rsidR="000067F8" w:rsidRPr="00161599" w14:paraId="0A8EEECC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5A083500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07E624A9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Southeast</w:t>
            </w:r>
          </w:p>
        </w:tc>
        <w:tc>
          <w:tcPr>
            <w:tcW w:w="1476" w:type="dxa"/>
            <w:vAlign w:val="center"/>
            <w:hideMark/>
          </w:tcPr>
          <w:p w14:paraId="23190AD6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25.0</w:t>
            </w:r>
          </w:p>
        </w:tc>
        <w:tc>
          <w:tcPr>
            <w:tcW w:w="1903" w:type="dxa"/>
            <w:vAlign w:val="center"/>
            <w:hideMark/>
          </w:tcPr>
          <w:p w14:paraId="12C18A5D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16.3</w:t>
            </w:r>
          </w:p>
        </w:tc>
        <w:tc>
          <w:tcPr>
            <w:tcW w:w="1586" w:type="dxa"/>
            <w:vAlign w:val="center"/>
            <w:hideMark/>
          </w:tcPr>
          <w:p w14:paraId="25E5C45D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51.7</w:t>
            </w:r>
          </w:p>
        </w:tc>
        <w:tc>
          <w:tcPr>
            <w:tcW w:w="1127" w:type="dxa"/>
            <w:vAlign w:val="center"/>
            <w:hideMark/>
          </w:tcPr>
          <w:p w14:paraId="7AAAEE8F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48.7</w:t>
            </w:r>
          </w:p>
        </w:tc>
      </w:tr>
      <w:tr w:rsidR="000067F8" w:rsidRPr="00161599" w14:paraId="405798D7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286BAB8D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45A116D7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Southern Great Plains</w:t>
            </w:r>
          </w:p>
        </w:tc>
        <w:tc>
          <w:tcPr>
            <w:tcW w:w="1476" w:type="dxa"/>
            <w:vAlign w:val="center"/>
            <w:hideMark/>
          </w:tcPr>
          <w:p w14:paraId="4FF60F0B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10.4</w:t>
            </w:r>
          </w:p>
        </w:tc>
        <w:tc>
          <w:tcPr>
            <w:tcW w:w="1903" w:type="dxa"/>
            <w:vAlign w:val="center"/>
            <w:hideMark/>
          </w:tcPr>
          <w:p w14:paraId="2DAC0A2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9.9</w:t>
            </w:r>
          </w:p>
        </w:tc>
        <w:tc>
          <w:tcPr>
            <w:tcW w:w="1586" w:type="dxa"/>
            <w:vAlign w:val="center"/>
            <w:hideMark/>
          </w:tcPr>
          <w:p w14:paraId="3C0DC532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14.2</w:t>
            </w:r>
          </w:p>
        </w:tc>
        <w:tc>
          <w:tcPr>
            <w:tcW w:w="1127" w:type="dxa"/>
            <w:vAlign w:val="center"/>
            <w:hideMark/>
          </w:tcPr>
          <w:p w14:paraId="7752D8E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16.9</w:t>
            </w:r>
          </w:p>
        </w:tc>
      </w:tr>
      <w:tr w:rsidR="000067F8" w:rsidRPr="00161599" w14:paraId="7CFF6A31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7B8F4D3D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439314E5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Southwest</w:t>
            </w:r>
          </w:p>
        </w:tc>
        <w:tc>
          <w:tcPr>
            <w:tcW w:w="1476" w:type="dxa"/>
            <w:vAlign w:val="center"/>
            <w:hideMark/>
          </w:tcPr>
          <w:p w14:paraId="7C957938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18.3</w:t>
            </w:r>
          </w:p>
        </w:tc>
        <w:tc>
          <w:tcPr>
            <w:tcW w:w="1903" w:type="dxa"/>
            <w:vAlign w:val="center"/>
            <w:hideMark/>
          </w:tcPr>
          <w:p w14:paraId="0D5845FE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17.5</w:t>
            </w:r>
          </w:p>
        </w:tc>
        <w:tc>
          <w:tcPr>
            <w:tcW w:w="1586" w:type="dxa"/>
            <w:vAlign w:val="center"/>
            <w:hideMark/>
          </w:tcPr>
          <w:p w14:paraId="0E81E370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18.9</w:t>
            </w:r>
          </w:p>
        </w:tc>
        <w:tc>
          <w:tcPr>
            <w:tcW w:w="1127" w:type="dxa"/>
            <w:vAlign w:val="center"/>
            <w:hideMark/>
          </w:tcPr>
          <w:p w14:paraId="27FF0213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22.3</w:t>
            </w:r>
          </w:p>
        </w:tc>
      </w:tr>
      <w:tr w:rsidR="000067F8" w:rsidRPr="00161599" w14:paraId="258B6EC2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 w:val="restart"/>
            <w:vAlign w:val="center"/>
            <w:hideMark/>
          </w:tcPr>
          <w:p w14:paraId="6D99CB17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RUCA (%)</w:t>
            </w:r>
          </w:p>
        </w:tc>
        <w:tc>
          <w:tcPr>
            <w:tcW w:w="1596" w:type="dxa"/>
            <w:vAlign w:val="center"/>
            <w:hideMark/>
          </w:tcPr>
          <w:p w14:paraId="401123C5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Rural</w:t>
            </w:r>
          </w:p>
        </w:tc>
        <w:tc>
          <w:tcPr>
            <w:tcW w:w="1476" w:type="dxa"/>
            <w:vAlign w:val="center"/>
            <w:hideMark/>
          </w:tcPr>
          <w:p w14:paraId="6C96247D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3.2</w:t>
            </w:r>
          </w:p>
        </w:tc>
        <w:tc>
          <w:tcPr>
            <w:tcW w:w="1903" w:type="dxa"/>
            <w:vAlign w:val="center"/>
            <w:hideMark/>
          </w:tcPr>
          <w:p w14:paraId="5702CD2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0.8</w:t>
            </w:r>
          </w:p>
        </w:tc>
        <w:tc>
          <w:tcPr>
            <w:tcW w:w="1586" w:type="dxa"/>
            <w:vAlign w:val="center"/>
            <w:hideMark/>
          </w:tcPr>
          <w:p w14:paraId="2184B020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4.0</w:t>
            </w:r>
          </w:p>
        </w:tc>
        <w:tc>
          <w:tcPr>
            <w:tcW w:w="1127" w:type="dxa"/>
            <w:vAlign w:val="center"/>
            <w:hideMark/>
          </w:tcPr>
          <w:p w14:paraId="7A65917D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1.0</w:t>
            </w:r>
          </w:p>
        </w:tc>
      </w:tr>
      <w:tr w:rsidR="000067F8" w:rsidRPr="00161599" w14:paraId="6D425922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7124D62D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2D39640D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Small town</w:t>
            </w:r>
          </w:p>
        </w:tc>
        <w:tc>
          <w:tcPr>
            <w:tcW w:w="1476" w:type="dxa"/>
            <w:vAlign w:val="center"/>
            <w:hideMark/>
          </w:tcPr>
          <w:p w14:paraId="0DC00930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4.3</w:t>
            </w:r>
          </w:p>
        </w:tc>
        <w:tc>
          <w:tcPr>
            <w:tcW w:w="1903" w:type="dxa"/>
            <w:vAlign w:val="center"/>
            <w:hideMark/>
          </w:tcPr>
          <w:p w14:paraId="1B2D2E56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1.8</w:t>
            </w:r>
          </w:p>
        </w:tc>
        <w:tc>
          <w:tcPr>
            <w:tcW w:w="1586" w:type="dxa"/>
            <w:vAlign w:val="center"/>
            <w:hideMark/>
          </w:tcPr>
          <w:p w14:paraId="2F57600D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6.5</w:t>
            </w:r>
          </w:p>
        </w:tc>
        <w:tc>
          <w:tcPr>
            <w:tcW w:w="1127" w:type="dxa"/>
            <w:vAlign w:val="center"/>
            <w:hideMark/>
          </w:tcPr>
          <w:p w14:paraId="460C9F26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2.8</w:t>
            </w:r>
          </w:p>
        </w:tc>
      </w:tr>
      <w:tr w:rsidR="000067F8" w:rsidRPr="00161599" w14:paraId="2384A2FE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</w:tcPr>
          <w:p w14:paraId="25624F82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</w:tcPr>
          <w:p w14:paraId="4791064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Micropolitan</w:t>
            </w:r>
          </w:p>
        </w:tc>
        <w:tc>
          <w:tcPr>
            <w:tcW w:w="1476" w:type="dxa"/>
            <w:vAlign w:val="center"/>
          </w:tcPr>
          <w:p w14:paraId="21AA48F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9.8</w:t>
            </w:r>
          </w:p>
        </w:tc>
        <w:tc>
          <w:tcPr>
            <w:tcW w:w="1903" w:type="dxa"/>
            <w:vAlign w:val="center"/>
          </w:tcPr>
          <w:p w14:paraId="1CBD81D9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5.2</w:t>
            </w:r>
          </w:p>
        </w:tc>
        <w:tc>
          <w:tcPr>
            <w:tcW w:w="1586" w:type="dxa"/>
            <w:vAlign w:val="center"/>
          </w:tcPr>
          <w:p w14:paraId="2D2B2711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14.3</w:t>
            </w:r>
          </w:p>
        </w:tc>
        <w:tc>
          <w:tcPr>
            <w:tcW w:w="1127" w:type="dxa"/>
            <w:vAlign w:val="center"/>
          </w:tcPr>
          <w:p w14:paraId="6B868AB8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6.9</w:t>
            </w:r>
          </w:p>
        </w:tc>
      </w:tr>
      <w:tr w:rsidR="000067F8" w:rsidRPr="00161599" w14:paraId="7619713A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326D9E5A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32609F63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Suburban</w:t>
            </w:r>
          </w:p>
        </w:tc>
        <w:tc>
          <w:tcPr>
            <w:tcW w:w="1476" w:type="dxa"/>
            <w:vAlign w:val="center"/>
            <w:hideMark/>
          </w:tcPr>
          <w:p w14:paraId="3FCF77C0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9.7</w:t>
            </w:r>
          </w:p>
        </w:tc>
        <w:tc>
          <w:tcPr>
            <w:tcW w:w="1903" w:type="dxa"/>
            <w:vAlign w:val="center"/>
            <w:hideMark/>
          </w:tcPr>
          <w:p w14:paraId="1531D1FA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6.4</w:t>
            </w:r>
          </w:p>
        </w:tc>
        <w:tc>
          <w:tcPr>
            <w:tcW w:w="1586" w:type="dxa"/>
            <w:vAlign w:val="center"/>
            <w:hideMark/>
          </w:tcPr>
          <w:p w14:paraId="33511367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13.6</w:t>
            </w:r>
          </w:p>
        </w:tc>
        <w:tc>
          <w:tcPr>
            <w:tcW w:w="1127" w:type="dxa"/>
            <w:vAlign w:val="center"/>
            <w:hideMark/>
          </w:tcPr>
          <w:p w14:paraId="48621702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8.1</w:t>
            </w:r>
          </w:p>
        </w:tc>
      </w:tr>
      <w:tr w:rsidR="000067F8" w:rsidRPr="00161599" w14:paraId="05C2EC79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4919C58A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7CBC288E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Urban core</w:t>
            </w:r>
          </w:p>
        </w:tc>
        <w:tc>
          <w:tcPr>
            <w:tcW w:w="1476" w:type="dxa"/>
            <w:vAlign w:val="center"/>
            <w:hideMark/>
          </w:tcPr>
          <w:p w14:paraId="596CBF3A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73.1</w:t>
            </w:r>
          </w:p>
        </w:tc>
        <w:tc>
          <w:tcPr>
            <w:tcW w:w="1903" w:type="dxa"/>
            <w:vAlign w:val="center"/>
            <w:hideMark/>
          </w:tcPr>
          <w:p w14:paraId="3BF106C9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85.7</w:t>
            </w:r>
          </w:p>
        </w:tc>
        <w:tc>
          <w:tcPr>
            <w:tcW w:w="1586" w:type="dxa"/>
            <w:vAlign w:val="center"/>
            <w:hideMark/>
          </w:tcPr>
          <w:p w14:paraId="289E2A62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61.6</w:t>
            </w:r>
          </w:p>
        </w:tc>
        <w:tc>
          <w:tcPr>
            <w:tcW w:w="1127" w:type="dxa"/>
            <w:vAlign w:val="center"/>
            <w:hideMark/>
          </w:tcPr>
          <w:p w14:paraId="56CCB18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81.2</w:t>
            </w:r>
          </w:p>
        </w:tc>
      </w:tr>
      <w:tr w:rsidR="000067F8" w:rsidRPr="00161599" w14:paraId="4C387897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 w:val="restart"/>
            <w:vAlign w:val="center"/>
            <w:hideMark/>
          </w:tcPr>
          <w:p w14:paraId="21F6976E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Race and ethnicity (%)</w:t>
            </w:r>
          </w:p>
        </w:tc>
        <w:tc>
          <w:tcPr>
            <w:tcW w:w="1596" w:type="dxa"/>
            <w:vAlign w:val="center"/>
            <w:hideMark/>
          </w:tcPr>
          <w:p w14:paraId="0C1C16A7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White</w:t>
            </w:r>
          </w:p>
        </w:tc>
        <w:tc>
          <w:tcPr>
            <w:tcW w:w="1476" w:type="dxa"/>
            <w:vAlign w:val="center"/>
            <w:hideMark/>
          </w:tcPr>
          <w:p w14:paraId="2C9DC748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63.9</w:t>
            </w:r>
          </w:p>
        </w:tc>
        <w:tc>
          <w:tcPr>
            <w:tcW w:w="1903" w:type="dxa"/>
            <w:vAlign w:val="center"/>
            <w:hideMark/>
          </w:tcPr>
          <w:p w14:paraId="3BF2DAFD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58.8</w:t>
            </w:r>
          </w:p>
        </w:tc>
        <w:tc>
          <w:tcPr>
            <w:tcW w:w="1586" w:type="dxa"/>
            <w:vAlign w:val="center"/>
            <w:hideMark/>
          </w:tcPr>
          <w:p w14:paraId="6EC800D6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65.6</w:t>
            </w:r>
          </w:p>
        </w:tc>
        <w:tc>
          <w:tcPr>
            <w:tcW w:w="1127" w:type="dxa"/>
            <w:vAlign w:val="center"/>
            <w:hideMark/>
          </w:tcPr>
          <w:p w14:paraId="09D50549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58.9</w:t>
            </w:r>
          </w:p>
        </w:tc>
      </w:tr>
      <w:tr w:rsidR="000067F8" w:rsidRPr="00161599" w14:paraId="5E634D86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2D77261A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4EFD86D7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Black</w:t>
            </w:r>
          </w:p>
        </w:tc>
        <w:tc>
          <w:tcPr>
            <w:tcW w:w="1476" w:type="dxa"/>
            <w:vAlign w:val="center"/>
            <w:hideMark/>
          </w:tcPr>
          <w:p w14:paraId="6F2AC650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12.3</w:t>
            </w:r>
          </w:p>
        </w:tc>
        <w:tc>
          <w:tcPr>
            <w:tcW w:w="1903" w:type="dxa"/>
            <w:vAlign w:val="center"/>
            <w:hideMark/>
          </w:tcPr>
          <w:p w14:paraId="5706CD98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14.8</w:t>
            </w:r>
          </w:p>
        </w:tc>
        <w:tc>
          <w:tcPr>
            <w:tcW w:w="1586" w:type="dxa"/>
            <w:vAlign w:val="center"/>
            <w:hideMark/>
          </w:tcPr>
          <w:p w14:paraId="3B0A14AA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14.3</w:t>
            </w:r>
          </w:p>
        </w:tc>
        <w:tc>
          <w:tcPr>
            <w:tcW w:w="1127" w:type="dxa"/>
            <w:vAlign w:val="center"/>
            <w:hideMark/>
          </w:tcPr>
          <w:p w14:paraId="0CC78C70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16.5</w:t>
            </w:r>
          </w:p>
        </w:tc>
      </w:tr>
      <w:tr w:rsidR="000067F8" w:rsidRPr="00161599" w14:paraId="6C9973C5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22A1E74C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38330B61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Hispanic</w:t>
            </w:r>
          </w:p>
        </w:tc>
        <w:tc>
          <w:tcPr>
            <w:tcW w:w="1476" w:type="dxa"/>
            <w:vAlign w:val="center"/>
            <w:hideMark/>
          </w:tcPr>
          <w:p w14:paraId="194847A1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16.4</w:t>
            </w:r>
          </w:p>
        </w:tc>
        <w:tc>
          <w:tcPr>
            <w:tcW w:w="1903" w:type="dxa"/>
            <w:vAlign w:val="center"/>
            <w:hideMark/>
          </w:tcPr>
          <w:p w14:paraId="04F0B898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18.0</w:t>
            </w:r>
          </w:p>
        </w:tc>
        <w:tc>
          <w:tcPr>
            <w:tcW w:w="1586" w:type="dxa"/>
            <w:vAlign w:val="center"/>
            <w:hideMark/>
          </w:tcPr>
          <w:p w14:paraId="21E64F2D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13.2</w:t>
            </w:r>
          </w:p>
        </w:tc>
        <w:tc>
          <w:tcPr>
            <w:tcW w:w="1127" w:type="dxa"/>
            <w:vAlign w:val="center"/>
            <w:hideMark/>
          </w:tcPr>
          <w:p w14:paraId="1B782E6B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17.1</w:t>
            </w:r>
          </w:p>
        </w:tc>
      </w:tr>
      <w:tr w:rsidR="000067F8" w:rsidRPr="00161599" w14:paraId="6697EA5D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55FB2F8C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205BE5C1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Asian</w:t>
            </w:r>
          </w:p>
        </w:tc>
        <w:tc>
          <w:tcPr>
            <w:tcW w:w="1476" w:type="dxa"/>
            <w:vAlign w:val="center"/>
            <w:hideMark/>
          </w:tcPr>
          <w:p w14:paraId="0089D311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4.5</w:t>
            </w:r>
          </w:p>
        </w:tc>
        <w:tc>
          <w:tcPr>
            <w:tcW w:w="1903" w:type="dxa"/>
            <w:vAlign w:val="center"/>
            <w:hideMark/>
          </w:tcPr>
          <w:p w14:paraId="4272DE42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5.9</w:t>
            </w:r>
          </w:p>
        </w:tc>
        <w:tc>
          <w:tcPr>
            <w:tcW w:w="1586" w:type="dxa"/>
            <w:vAlign w:val="center"/>
            <w:hideMark/>
          </w:tcPr>
          <w:p w14:paraId="4BC574D3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3.8</w:t>
            </w:r>
          </w:p>
        </w:tc>
        <w:tc>
          <w:tcPr>
            <w:tcW w:w="1127" w:type="dxa"/>
            <w:vAlign w:val="center"/>
            <w:hideMark/>
          </w:tcPr>
          <w:p w14:paraId="711FA8B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5.0</w:t>
            </w:r>
          </w:p>
        </w:tc>
      </w:tr>
      <w:tr w:rsidR="000067F8" w:rsidRPr="00161599" w14:paraId="438C64A6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6D06DE0E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3B81AAFC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Native American</w:t>
            </w:r>
          </w:p>
        </w:tc>
        <w:tc>
          <w:tcPr>
            <w:tcW w:w="1476" w:type="dxa"/>
            <w:vAlign w:val="center"/>
            <w:hideMark/>
          </w:tcPr>
          <w:p w14:paraId="78894E99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0.7</w:t>
            </w:r>
          </w:p>
        </w:tc>
        <w:tc>
          <w:tcPr>
            <w:tcW w:w="1903" w:type="dxa"/>
            <w:vAlign w:val="center"/>
            <w:hideMark/>
          </w:tcPr>
          <w:p w14:paraId="4699479B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0.3</w:t>
            </w:r>
          </w:p>
        </w:tc>
        <w:tc>
          <w:tcPr>
            <w:tcW w:w="1586" w:type="dxa"/>
            <w:vAlign w:val="center"/>
            <w:hideMark/>
          </w:tcPr>
          <w:p w14:paraId="015CE140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0.9</w:t>
            </w:r>
          </w:p>
        </w:tc>
        <w:tc>
          <w:tcPr>
            <w:tcW w:w="1127" w:type="dxa"/>
            <w:vAlign w:val="center"/>
            <w:hideMark/>
          </w:tcPr>
          <w:p w14:paraId="633A02DB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0.4</w:t>
            </w:r>
          </w:p>
        </w:tc>
      </w:tr>
      <w:tr w:rsidR="000067F8" w:rsidRPr="00161599" w14:paraId="3E15E31B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 w:val="restart"/>
            <w:vAlign w:val="center"/>
            <w:hideMark/>
          </w:tcPr>
          <w:p w14:paraId="7BFE187B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  <w:commentRangeStart w:id="30"/>
            <w:r w:rsidRPr="00161599">
              <w:rPr>
                <w:rFonts w:cs="Arial"/>
                <w:noProof/>
              </w:rPr>
              <w:t>Language spoken at home (%)</w:t>
            </w:r>
            <w:commentRangeEnd w:id="30"/>
            <w:r w:rsidR="00424080">
              <w:rPr>
                <w:rStyle w:val="CommentReference"/>
                <w:b w:val="0"/>
                <w:bCs w:val="0"/>
              </w:rPr>
              <w:commentReference w:id="30"/>
            </w:r>
          </w:p>
        </w:tc>
        <w:tc>
          <w:tcPr>
            <w:tcW w:w="1596" w:type="dxa"/>
            <w:vAlign w:val="center"/>
            <w:hideMark/>
          </w:tcPr>
          <w:p w14:paraId="5DFE214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Only English</w:t>
            </w:r>
          </w:p>
        </w:tc>
        <w:tc>
          <w:tcPr>
            <w:tcW w:w="1476" w:type="dxa"/>
            <w:vAlign w:val="center"/>
            <w:hideMark/>
          </w:tcPr>
          <w:p w14:paraId="794F0DD5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73.5</w:t>
            </w:r>
          </w:p>
        </w:tc>
        <w:tc>
          <w:tcPr>
            <w:tcW w:w="1903" w:type="dxa"/>
            <w:vAlign w:val="center"/>
            <w:hideMark/>
          </w:tcPr>
          <w:p w14:paraId="68D2A64D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72.7</w:t>
            </w:r>
          </w:p>
        </w:tc>
        <w:tc>
          <w:tcPr>
            <w:tcW w:w="1586" w:type="dxa"/>
            <w:vAlign w:val="center"/>
            <w:hideMark/>
          </w:tcPr>
          <w:p w14:paraId="7442D6F9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73.3</w:t>
            </w:r>
          </w:p>
        </w:tc>
        <w:tc>
          <w:tcPr>
            <w:tcW w:w="1127" w:type="dxa"/>
            <w:vAlign w:val="center"/>
            <w:hideMark/>
          </w:tcPr>
          <w:p w14:paraId="433E0A17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70.1</w:t>
            </w:r>
          </w:p>
        </w:tc>
      </w:tr>
      <w:tr w:rsidR="000067F8" w:rsidRPr="00161599" w14:paraId="5A7496C7" w14:textId="77777777" w:rsidTr="00F76A4D">
        <w:trPr>
          <w:trHeight w:val="6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68B658F9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36804450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Other than English, speaks English well</w:t>
            </w:r>
          </w:p>
        </w:tc>
        <w:tc>
          <w:tcPr>
            <w:tcW w:w="1476" w:type="dxa"/>
            <w:vAlign w:val="center"/>
            <w:hideMark/>
          </w:tcPr>
          <w:p w14:paraId="71C99491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10.5</w:t>
            </w:r>
          </w:p>
        </w:tc>
        <w:tc>
          <w:tcPr>
            <w:tcW w:w="1903" w:type="dxa"/>
            <w:vAlign w:val="center"/>
            <w:hideMark/>
          </w:tcPr>
          <w:p w14:paraId="5D5560E8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10.4</w:t>
            </w:r>
          </w:p>
        </w:tc>
        <w:tc>
          <w:tcPr>
            <w:tcW w:w="1586" w:type="dxa"/>
            <w:vAlign w:val="center"/>
            <w:hideMark/>
          </w:tcPr>
          <w:p w14:paraId="2F738337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9.3</w:t>
            </w:r>
          </w:p>
        </w:tc>
        <w:tc>
          <w:tcPr>
            <w:tcW w:w="1127" w:type="dxa"/>
            <w:vAlign w:val="center"/>
            <w:hideMark/>
          </w:tcPr>
          <w:p w14:paraId="7D7DB423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9.5</w:t>
            </w:r>
          </w:p>
        </w:tc>
      </w:tr>
      <w:tr w:rsidR="000067F8" w:rsidRPr="00161599" w14:paraId="5771624B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45C93812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5378D3F8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Other than English, does not speak English well</w:t>
            </w:r>
          </w:p>
        </w:tc>
        <w:tc>
          <w:tcPr>
            <w:tcW w:w="1476" w:type="dxa"/>
            <w:vAlign w:val="center"/>
            <w:hideMark/>
          </w:tcPr>
          <w:p w14:paraId="5D68AB3B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8.0</w:t>
            </w:r>
          </w:p>
        </w:tc>
        <w:tc>
          <w:tcPr>
            <w:tcW w:w="1903" w:type="dxa"/>
            <w:vAlign w:val="center"/>
            <w:hideMark/>
          </w:tcPr>
          <w:p w14:paraId="137DE3FB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8.0</w:t>
            </w:r>
          </w:p>
        </w:tc>
        <w:tc>
          <w:tcPr>
            <w:tcW w:w="1586" w:type="dxa"/>
            <w:vAlign w:val="center"/>
            <w:hideMark/>
          </w:tcPr>
          <w:p w14:paraId="5F9FDD16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7.5</w:t>
            </w:r>
          </w:p>
        </w:tc>
        <w:tc>
          <w:tcPr>
            <w:tcW w:w="1127" w:type="dxa"/>
            <w:vAlign w:val="center"/>
            <w:hideMark/>
          </w:tcPr>
          <w:p w14:paraId="12F18B15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7.5</w:t>
            </w:r>
          </w:p>
        </w:tc>
      </w:tr>
      <w:tr w:rsidR="000067F8" w:rsidRPr="00161599" w14:paraId="41409A2A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 w:val="restart"/>
            <w:vAlign w:val="center"/>
            <w:hideMark/>
          </w:tcPr>
          <w:p w14:paraId="33D4C3E5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Per-capita income quintile (%)</w:t>
            </w:r>
          </w:p>
        </w:tc>
        <w:tc>
          <w:tcPr>
            <w:tcW w:w="1596" w:type="dxa"/>
            <w:vAlign w:val="center"/>
            <w:hideMark/>
          </w:tcPr>
          <w:p w14:paraId="046BEA35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 (lowest)</w:t>
            </w:r>
          </w:p>
        </w:tc>
        <w:tc>
          <w:tcPr>
            <w:tcW w:w="1476" w:type="dxa"/>
            <w:vAlign w:val="center"/>
            <w:hideMark/>
          </w:tcPr>
          <w:p w14:paraId="3B04A7B4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20.0</w:t>
            </w:r>
          </w:p>
        </w:tc>
        <w:tc>
          <w:tcPr>
            <w:tcW w:w="1903" w:type="dxa"/>
            <w:vAlign w:val="center"/>
            <w:hideMark/>
          </w:tcPr>
          <w:p w14:paraId="3CA283ED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20.6</w:t>
            </w:r>
          </w:p>
        </w:tc>
        <w:tc>
          <w:tcPr>
            <w:tcW w:w="1586" w:type="dxa"/>
            <w:vAlign w:val="center"/>
            <w:hideMark/>
          </w:tcPr>
          <w:p w14:paraId="41ABE547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23.1</w:t>
            </w:r>
          </w:p>
        </w:tc>
        <w:tc>
          <w:tcPr>
            <w:tcW w:w="1127" w:type="dxa"/>
            <w:vAlign w:val="center"/>
            <w:hideMark/>
          </w:tcPr>
          <w:p w14:paraId="7A87A7E3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24.0</w:t>
            </w:r>
          </w:p>
        </w:tc>
      </w:tr>
      <w:tr w:rsidR="000067F8" w:rsidRPr="00161599" w14:paraId="3C617EA7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666709E8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19F40285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</w:t>
            </w:r>
          </w:p>
        </w:tc>
        <w:tc>
          <w:tcPr>
            <w:tcW w:w="1476" w:type="dxa"/>
            <w:vAlign w:val="center"/>
            <w:hideMark/>
          </w:tcPr>
          <w:p w14:paraId="411157BF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19.5</w:t>
            </w:r>
          </w:p>
        </w:tc>
        <w:tc>
          <w:tcPr>
            <w:tcW w:w="1903" w:type="dxa"/>
            <w:vAlign w:val="center"/>
            <w:hideMark/>
          </w:tcPr>
          <w:p w14:paraId="51601367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18.9</w:t>
            </w:r>
          </w:p>
        </w:tc>
        <w:tc>
          <w:tcPr>
            <w:tcW w:w="1586" w:type="dxa"/>
            <w:vAlign w:val="center"/>
            <w:hideMark/>
          </w:tcPr>
          <w:p w14:paraId="6DD5282A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23.3</w:t>
            </w:r>
          </w:p>
        </w:tc>
        <w:tc>
          <w:tcPr>
            <w:tcW w:w="1127" w:type="dxa"/>
            <w:vAlign w:val="center"/>
            <w:hideMark/>
          </w:tcPr>
          <w:p w14:paraId="2572B39E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22.6</w:t>
            </w:r>
          </w:p>
        </w:tc>
      </w:tr>
      <w:tr w:rsidR="000067F8" w:rsidRPr="00161599" w14:paraId="4769A9DB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0344A6BC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7BBD3A82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3</w:t>
            </w:r>
          </w:p>
        </w:tc>
        <w:tc>
          <w:tcPr>
            <w:tcW w:w="1476" w:type="dxa"/>
            <w:vAlign w:val="center"/>
            <w:hideMark/>
          </w:tcPr>
          <w:p w14:paraId="257A809F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19.6</w:t>
            </w:r>
          </w:p>
        </w:tc>
        <w:tc>
          <w:tcPr>
            <w:tcW w:w="1903" w:type="dxa"/>
            <w:vAlign w:val="center"/>
            <w:hideMark/>
          </w:tcPr>
          <w:p w14:paraId="67A513D3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19.2</w:t>
            </w:r>
          </w:p>
        </w:tc>
        <w:tc>
          <w:tcPr>
            <w:tcW w:w="1586" w:type="dxa"/>
            <w:vAlign w:val="center"/>
            <w:hideMark/>
          </w:tcPr>
          <w:p w14:paraId="42F66B1B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18.8</w:t>
            </w:r>
          </w:p>
        </w:tc>
        <w:tc>
          <w:tcPr>
            <w:tcW w:w="1127" w:type="dxa"/>
            <w:vAlign w:val="center"/>
            <w:hideMark/>
          </w:tcPr>
          <w:p w14:paraId="0277C267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17.7</w:t>
            </w:r>
          </w:p>
        </w:tc>
      </w:tr>
      <w:tr w:rsidR="000067F8" w:rsidRPr="00161599" w14:paraId="78BECF29" w14:textId="77777777" w:rsidTr="00F7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3BA6187E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6E0673C3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4</w:t>
            </w:r>
          </w:p>
        </w:tc>
        <w:tc>
          <w:tcPr>
            <w:tcW w:w="1476" w:type="dxa"/>
            <w:vAlign w:val="center"/>
            <w:hideMark/>
          </w:tcPr>
          <w:p w14:paraId="0893DF74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19.8</w:t>
            </w:r>
          </w:p>
        </w:tc>
        <w:tc>
          <w:tcPr>
            <w:tcW w:w="1903" w:type="dxa"/>
            <w:vAlign w:val="center"/>
            <w:hideMark/>
          </w:tcPr>
          <w:p w14:paraId="2BF00FED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20.0</w:t>
            </w:r>
          </w:p>
        </w:tc>
        <w:tc>
          <w:tcPr>
            <w:tcW w:w="1586" w:type="dxa"/>
            <w:vAlign w:val="center"/>
            <w:hideMark/>
          </w:tcPr>
          <w:p w14:paraId="339FC613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16.7</w:t>
            </w:r>
          </w:p>
        </w:tc>
        <w:tc>
          <w:tcPr>
            <w:tcW w:w="1127" w:type="dxa"/>
            <w:vAlign w:val="center"/>
            <w:hideMark/>
          </w:tcPr>
          <w:p w14:paraId="137E8B9D" w14:textId="77777777" w:rsidR="000067F8" w:rsidRPr="00161599" w:rsidRDefault="000067F8" w:rsidP="00F76A4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17.2</w:t>
            </w:r>
          </w:p>
        </w:tc>
      </w:tr>
      <w:tr w:rsidR="000067F8" w:rsidRPr="00161599" w14:paraId="4CB3B5BA" w14:textId="77777777" w:rsidTr="00F76A4D">
        <w:trPr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77" w:type="dxa"/>
            <w:vMerge/>
            <w:vAlign w:val="center"/>
            <w:hideMark/>
          </w:tcPr>
          <w:p w14:paraId="4B1E62E3" w14:textId="77777777" w:rsidR="000067F8" w:rsidRPr="00161599" w:rsidRDefault="000067F8" w:rsidP="00F76A4D">
            <w:pPr>
              <w:jc w:val="center"/>
              <w:rPr>
                <w:rFonts w:cs="Arial"/>
                <w:noProof/>
              </w:rPr>
            </w:pPr>
          </w:p>
        </w:tc>
        <w:tc>
          <w:tcPr>
            <w:tcW w:w="1596" w:type="dxa"/>
            <w:vAlign w:val="center"/>
            <w:hideMark/>
          </w:tcPr>
          <w:p w14:paraId="67C47634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5 (highest)</w:t>
            </w:r>
          </w:p>
        </w:tc>
        <w:tc>
          <w:tcPr>
            <w:tcW w:w="1476" w:type="dxa"/>
            <w:vAlign w:val="center"/>
            <w:hideMark/>
          </w:tcPr>
          <w:p w14:paraId="76F79DA0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20.2</w:t>
            </w:r>
          </w:p>
        </w:tc>
        <w:tc>
          <w:tcPr>
            <w:tcW w:w="1903" w:type="dxa"/>
            <w:vAlign w:val="center"/>
            <w:hideMark/>
          </w:tcPr>
          <w:p w14:paraId="1467032E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20.4</w:t>
            </w:r>
          </w:p>
        </w:tc>
        <w:tc>
          <w:tcPr>
            <w:tcW w:w="1586" w:type="dxa"/>
            <w:vAlign w:val="center"/>
            <w:hideMark/>
          </w:tcPr>
          <w:p w14:paraId="4EF1BF85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17.2</w:t>
            </w:r>
          </w:p>
        </w:tc>
        <w:tc>
          <w:tcPr>
            <w:tcW w:w="1127" w:type="dxa"/>
            <w:vAlign w:val="center"/>
            <w:hideMark/>
          </w:tcPr>
          <w:p w14:paraId="2B4D39EB" w14:textId="77777777" w:rsidR="000067F8" w:rsidRPr="00161599" w:rsidRDefault="000067F8" w:rsidP="00F76A4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noProof/>
              </w:rPr>
            </w:pPr>
            <w:r w:rsidRPr="00161599">
              <w:rPr>
                <w:rFonts w:cs="Arial"/>
                <w:noProof/>
              </w:rPr>
              <w:t>18.0</w:t>
            </w:r>
          </w:p>
        </w:tc>
      </w:tr>
    </w:tbl>
    <w:p w14:paraId="254F73BE" w14:textId="77777777" w:rsidR="000067F8" w:rsidRPr="00161599" w:rsidRDefault="000067F8" w:rsidP="000067F8">
      <w:pPr>
        <w:rPr>
          <w:rFonts w:cs="Arial"/>
          <w:noProof/>
        </w:rPr>
      </w:pPr>
      <w:r w:rsidRPr="00161599" w:rsidDel="00784E4D">
        <w:rPr>
          <w:rFonts w:cs="Arial"/>
          <w:noProof/>
        </w:rPr>
        <w:t xml:space="preserve"> </w:t>
      </w:r>
    </w:p>
    <w:p w14:paraId="74180B53" w14:textId="77777777" w:rsidR="000067F8" w:rsidRPr="00161599" w:rsidRDefault="000067F8" w:rsidP="000067F8">
      <w:pPr>
        <w:rPr>
          <w:rFonts w:cs="Arial"/>
        </w:rPr>
      </w:pPr>
      <w:bookmarkStart w:id="31" w:name="X30e7692641d6abbe8418c967a42fd7e5839d587"/>
      <w:r w:rsidRPr="00161599">
        <w:rPr>
          <w:rFonts w:cs="Arial"/>
          <w:noProof/>
        </w:rPr>
        <w:lastRenderedPageBreak/>
        <w:t xml:space="preserve"> </w:t>
      </w:r>
      <w:r w:rsidRPr="00161599">
        <w:rPr>
          <w:rFonts w:cs="Arial"/>
          <w:noProof/>
        </w:rPr>
        <w:drawing>
          <wp:inline distT="0" distB="0" distL="0" distR="0" wp14:anchorId="3E865DC1" wp14:editId="43C78C08">
            <wp:extent cx="4984452" cy="7148223"/>
            <wp:effectExtent l="0" t="0" r="698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36492" cy="7222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75E0C" w14:textId="77777777" w:rsidR="000067F8" w:rsidRPr="00161599" w:rsidRDefault="000067F8" w:rsidP="000067F8">
      <w:pPr>
        <w:pStyle w:val="BodyText"/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>Figure S7.</w:t>
      </w:r>
      <w:r w:rsidRPr="00161599">
        <w:rPr>
          <w:rFonts w:cs="Arial"/>
        </w:rPr>
        <w:t xml:space="preserve"> Annual average population-weighted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in 2007 to 2018 by National Climate Assessment (NCA) region for total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Total),</w:t>
      </w:r>
      <w:r w:rsidRPr="00161599">
        <w:rPr>
          <w:rFonts w:cs="Arial"/>
          <w:vertAlign w:val="subscript"/>
        </w:rPr>
        <w:t xml:space="preserve"> </w:t>
      </w:r>
      <w:r w:rsidRPr="00161599">
        <w:rPr>
          <w:rFonts w:cs="Arial"/>
        </w:rPr>
        <w:t>non-fire PM</w:t>
      </w:r>
      <w:r w:rsidRPr="00161599">
        <w:rPr>
          <w:rFonts w:cs="Arial"/>
          <w:vertAlign w:val="subscript"/>
        </w:rPr>
        <w:t xml:space="preserve">2.5 </w:t>
      </w:r>
      <w:r w:rsidRPr="00161599">
        <w:rPr>
          <w:rFonts w:cs="Arial"/>
        </w:rPr>
        <w:t>(CMAQ No Fire), wildland fire-specific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Fire), and wildfire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estimated in </w:t>
      </w:r>
      <w:r>
        <w:rPr>
          <w:rFonts w:cs="Arial"/>
        </w:rPr>
        <w:t>Childs et al. (2022)</w:t>
      </w:r>
      <w:r w:rsidRPr="00161599">
        <w:rPr>
          <w:rFonts w:cs="Arial"/>
        </w:rPr>
        <w:t>.</w:t>
      </w:r>
      <w:r>
        <w:rPr>
          <w:rFonts w:cs="Arial"/>
        </w:rPr>
        <w:fldChar w:fldCharType="begin"/>
      </w:r>
      <w:r>
        <w:rPr>
          <w:rFonts w:cs="Arial"/>
        </w:rPr>
        <w:instrText xml:space="preserve"> ADDIN EN.CITE &lt;EndNote&gt;&lt;Cite&gt;&lt;Author&gt;Childs&lt;/Author&gt;&lt;Year&gt;2022&lt;/Year&gt;&lt;RecNum&gt;16&lt;/RecNum&gt;&lt;DisplayText&gt;&lt;style face="superscript"&gt;33&lt;/style&gt;&lt;/DisplayText&gt;&lt;record&gt;&lt;rec-number&gt;16&lt;/rec-number&gt;&lt;foreign-keys&gt;&lt;key app="EN" db-id="290frdwv45faxberservzdsk5rv9at2wzpvt" timestamp="1712587830"&gt;16&lt;/key&gt;&lt;/foreign-keys&gt;&lt;ref-type name="Journal Article"&gt;17&lt;/ref-type&gt;&lt;contributors&gt;&lt;authors&gt;&lt;author&gt;Childs, Marissa L.&lt;/author&gt;&lt;author&gt;Li, Jessica&lt;/author&gt;&lt;author&gt;Wen, Jeffrey&lt;/author&gt;&lt;author&gt;Heft-Neal, Sam&lt;/author&gt;&lt;author&gt;Driscoll, Anne&lt;/author&gt;&lt;author&gt;Wang, Sherrie&lt;/author&gt;&lt;author&gt;Gould, Carlos F.&lt;/author&gt;&lt;author&gt;Qiu, Minghao&lt;/author&gt;&lt;author&gt;Burney, Jennifer&lt;/author&gt;&lt;author&gt;Burke, Marshall&lt;/author&gt;&lt;/authors&gt;&lt;/contributors&gt;&lt;titles&gt;&lt;title&gt;&lt;style face="normal" font="default" size="100%"&gt;Daily Local-Level Estimates of Ambient Wildfire Smoke PM &lt;/style&gt;&lt;style face="subscript" font="default" size="100%"&gt;2.5&lt;/style&gt;&lt;style face="normal" font="default" size="100%"&gt; for the Contiguous US&lt;/style&gt;&lt;/title&gt;&lt;secondary-title&gt;Environmental Science &amp;amp; Technology&lt;/secondary-title&gt;&lt;/titles&gt;&lt;periodical&gt;&lt;full-title&gt;Environmental Science &amp;amp; Technology&lt;/full-title&gt;&lt;/periodical&gt;&lt;pages&gt;13607-13621&lt;/pages&gt;&lt;volume&gt;56&lt;/volume&gt;&lt;number&gt;19&lt;/number&gt;&lt;dates&gt;&lt;year&gt;2022&lt;/year&gt;&lt;pub-dates&gt;&lt;date&gt;2022-10-04&lt;/date&gt;&lt;/pub-dates&gt;&lt;/dates&gt;&lt;isbn&gt;0013-936X, 1520-5851&lt;/isbn&gt;&lt;urls&gt;&lt;/urls&gt;&lt;electronic-resource-num&gt;10.1021/acs.est.2c02934&lt;/electronic-resource-num&gt;&lt;remote-database-name&gt;DOI.org (Crossref)&lt;/remote-database-name&gt;&lt;language&gt;en&lt;/language&gt;&lt;access-date&gt;2024-02-02 17:01:31&lt;/access-date&gt;&lt;/record&gt;&lt;/Cite&gt;&lt;/EndNote&gt;</w:instrText>
      </w:r>
      <w:r>
        <w:rPr>
          <w:rFonts w:cs="Arial"/>
        </w:rPr>
        <w:fldChar w:fldCharType="separate"/>
      </w:r>
      <w:r w:rsidRPr="003021E1">
        <w:rPr>
          <w:rFonts w:cs="Arial"/>
          <w:noProof/>
          <w:vertAlign w:val="superscript"/>
        </w:rPr>
        <w:t>33</w:t>
      </w:r>
      <w:r>
        <w:rPr>
          <w:rFonts w:cs="Arial"/>
        </w:rPr>
        <w:fldChar w:fldCharType="end"/>
      </w:r>
      <w:r w:rsidRPr="00161599">
        <w:rPr>
          <w:rFonts w:cs="Arial"/>
        </w:rPr>
        <w:t xml:space="preserve"> (Childs Fire).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32" w:name="_Toc163632903"/>
      <w:bookmarkStart w:id="33" w:name="_Toc164241959"/>
      <w:bookmarkStart w:id="34" w:name="_Toc164247700"/>
      <w:bookmarkStart w:id="35" w:name="_Toc165977717"/>
      <w:r w:rsidRPr="00E95132">
        <w:rPr>
          <w:rFonts w:cs="Arial"/>
          <w:b/>
          <w:bCs/>
        </w:rPr>
        <w:instrText>Figure S7.</w:instrText>
      </w:r>
      <w:r w:rsidRPr="00E95132">
        <w:rPr>
          <w:rFonts w:cs="Arial"/>
        </w:rPr>
        <w:instrText xml:space="preserve"> Annual average population-weighted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concentrations in 2007 to 2018 by National Climate Assessment (NCA) region for total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(CMAQ Total),</w:instrText>
      </w:r>
      <w:r w:rsidRPr="00E95132">
        <w:rPr>
          <w:rFonts w:cs="Arial"/>
          <w:vertAlign w:val="subscript"/>
        </w:rPr>
        <w:instrText xml:space="preserve"> </w:instrText>
      </w:r>
      <w:r w:rsidRPr="00E95132">
        <w:rPr>
          <w:rFonts w:cs="Arial"/>
        </w:rPr>
        <w:instrText>non-fire PM</w:instrText>
      </w:r>
      <w:r w:rsidRPr="00E95132">
        <w:rPr>
          <w:rFonts w:cs="Arial"/>
          <w:vertAlign w:val="subscript"/>
        </w:rPr>
        <w:instrText xml:space="preserve">2.5 </w:instrText>
      </w:r>
      <w:r w:rsidRPr="00E95132">
        <w:rPr>
          <w:rFonts w:cs="Arial"/>
        </w:rPr>
        <w:instrText>(CMAQ No Fire), wildland fire-specific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(CMAQ Fire), and wildfire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estimated in </w:instrText>
      </w:r>
      <w:r>
        <w:rPr>
          <w:rFonts w:cs="Arial"/>
        </w:rPr>
        <w:instrText>Childs et al. (2022)</w:instrText>
      </w:r>
      <w:r w:rsidRPr="00E95132">
        <w:rPr>
          <w:rFonts w:cs="Arial"/>
        </w:rPr>
        <w:instrText>.</w:instrText>
      </w:r>
      <w:r w:rsidRPr="00E95132">
        <w:rPr>
          <w:rFonts w:cs="Arial"/>
          <w:noProof/>
          <w:vertAlign w:val="superscript"/>
        </w:rPr>
        <w:instrText>30</w:instrText>
      </w:r>
      <w:r w:rsidRPr="00E95132">
        <w:rPr>
          <w:rFonts w:cs="Arial"/>
        </w:rPr>
        <w:instrText xml:space="preserve"> (Childs Fire).</w:instrText>
      </w:r>
      <w:bookmarkEnd w:id="32"/>
      <w:bookmarkEnd w:id="33"/>
      <w:bookmarkEnd w:id="34"/>
      <w:bookmarkEnd w:id="35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535FC59B" w14:textId="77777777" w:rsidR="000067F8" w:rsidRPr="00161599" w:rsidRDefault="000067F8" w:rsidP="000067F8">
      <w:pPr>
        <w:pStyle w:val="FirstParagraph"/>
        <w:spacing w:line="480" w:lineRule="auto"/>
        <w:rPr>
          <w:rFonts w:cs="Arial"/>
        </w:rPr>
      </w:pPr>
      <w:bookmarkStart w:id="36" w:name="X25cd0b95e464ca6c04f56797ee0cdd871bb3fba"/>
      <w:bookmarkEnd w:id="31"/>
      <w:r w:rsidRPr="00161599">
        <w:rPr>
          <w:rFonts w:cs="Arial"/>
          <w:noProof/>
        </w:rPr>
        <w:lastRenderedPageBreak/>
        <w:t xml:space="preserve"> </w:t>
      </w:r>
      <w:r w:rsidRPr="00161599">
        <w:rPr>
          <w:rFonts w:cs="Arial"/>
          <w:noProof/>
        </w:rPr>
        <w:drawing>
          <wp:inline distT="0" distB="0" distL="0" distR="0" wp14:anchorId="5953DD5B" wp14:editId="015FCCB8">
            <wp:extent cx="4015408" cy="6330092"/>
            <wp:effectExtent l="0" t="0" r="444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98042" cy="6460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C9D95" w14:textId="77777777" w:rsidR="000067F8" w:rsidRPr="00161599" w:rsidRDefault="000067F8" w:rsidP="000067F8">
      <w:pPr>
        <w:pStyle w:val="BodyText"/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>Figure S8.</w:t>
      </w:r>
      <w:r w:rsidRPr="00161599">
        <w:rPr>
          <w:rFonts w:cs="Arial"/>
        </w:rPr>
        <w:t xml:space="preserve"> Annual average population-weighted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in 2007 to concentrations by urban-rural status identified using Rural-Urban Commuting Area primary codes (RUCA) for total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Total),</w:t>
      </w:r>
      <w:r w:rsidRPr="00161599">
        <w:rPr>
          <w:rFonts w:cs="Arial"/>
          <w:vertAlign w:val="subscript"/>
        </w:rPr>
        <w:t xml:space="preserve"> </w:t>
      </w:r>
      <w:r w:rsidRPr="00161599">
        <w:rPr>
          <w:rFonts w:cs="Arial"/>
        </w:rPr>
        <w:t>non-fire PM</w:t>
      </w:r>
      <w:r w:rsidRPr="00161599">
        <w:rPr>
          <w:rFonts w:cs="Arial"/>
          <w:vertAlign w:val="subscript"/>
        </w:rPr>
        <w:t xml:space="preserve">2.5 </w:t>
      </w:r>
      <w:r w:rsidRPr="00161599">
        <w:rPr>
          <w:rFonts w:cs="Arial"/>
        </w:rPr>
        <w:t>(CMAQ No Fire), wildland fire-specific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Fire), and wildfire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estimated in </w:t>
      </w:r>
      <w:r>
        <w:rPr>
          <w:rFonts w:cs="Arial"/>
        </w:rPr>
        <w:t>Childs et al. (2022)</w:t>
      </w:r>
      <w:r w:rsidRPr="00161599">
        <w:rPr>
          <w:rFonts w:cs="Arial"/>
        </w:rPr>
        <w:t>.</w:t>
      </w:r>
      <w:r>
        <w:rPr>
          <w:rFonts w:cs="Arial"/>
        </w:rPr>
        <w:fldChar w:fldCharType="begin"/>
      </w:r>
      <w:r>
        <w:rPr>
          <w:rFonts w:cs="Arial"/>
        </w:rPr>
        <w:instrText xml:space="preserve"> ADDIN EN.CITE &lt;EndNote&gt;&lt;Cite&gt;&lt;Author&gt;Childs&lt;/Author&gt;&lt;Year&gt;2022&lt;/Year&gt;&lt;RecNum&gt;16&lt;/RecNum&gt;&lt;DisplayText&gt;&lt;style face="superscript"&gt;33&lt;/style&gt;&lt;/DisplayText&gt;&lt;record&gt;&lt;rec-number&gt;16&lt;/rec-number&gt;&lt;foreign-keys&gt;&lt;key app="EN" db-id="290frdwv45faxberservzdsk5rv9at2wzpvt" timestamp="1712587830"&gt;16&lt;/key&gt;&lt;/foreign-keys&gt;&lt;ref-type name="Journal Article"&gt;17&lt;/ref-type&gt;&lt;contributors&gt;&lt;authors&gt;&lt;author&gt;Childs, Marissa L.&lt;/author&gt;&lt;author&gt;Li, Jessica&lt;/author&gt;&lt;author&gt;Wen, Jeffrey&lt;/author&gt;&lt;author&gt;Heft-Neal, Sam&lt;/author&gt;&lt;author&gt;Driscoll, Anne&lt;/author&gt;&lt;author&gt;Wang, Sherrie&lt;/author&gt;&lt;author&gt;Gould, Carlos F.&lt;/author&gt;&lt;author&gt;Qiu, Minghao&lt;/author&gt;&lt;author&gt;Burney, Jennifer&lt;/author&gt;&lt;author&gt;Burke, Marshall&lt;/author&gt;&lt;/authors&gt;&lt;/contributors&gt;&lt;titles&gt;&lt;title&gt;&lt;style face="normal" font="default" size="100%"&gt;Daily Local-Level Estimates of Ambient Wildfire Smoke PM &lt;/style&gt;&lt;style face="subscript" font="default" size="100%"&gt;2.5&lt;/style&gt;&lt;style face="normal" font="default" size="100%"&gt; for the Contiguous US&lt;/style&gt;&lt;/title&gt;&lt;secondary-title&gt;Environmental Science &amp;amp; Technology&lt;/secondary-title&gt;&lt;/titles&gt;&lt;periodical&gt;&lt;full-title&gt;Environmental Science &amp;amp; Technology&lt;/full-title&gt;&lt;/periodical&gt;&lt;pages&gt;13607-13621&lt;/pages&gt;&lt;volume&gt;56&lt;/volume&gt;&lt;number&gt;19&lt;/number&gt;&lt;dates&gt;&lt;year&gt;2022&lt;/year&gt;&lt;pub-dates&gt;&lt;date&gt;2022-10-04&lt;/date&gt;&lt;/pub-dates&gt;&lt;/dates&gt;&lt;isbn&gt;0013-936X, 1520-5851&lt;/isbn&gt;&lt;urls&gt;&lt;/urls&gt;&lt;electronic-resource-num&gt;10.1021/acs.est.2c02934&lt;/electronic-resource-num&gt;&lt;remote-database-name&gt;DOI.org (Crossref)&lt;/remote-database-name&gt;&lt;language&gt;en&lt;/language&gt;&lt;access-date&gt;2024-02-02 17:01:31&lt;/access-date&gt;&lt;/record&gt;&lt;/Cite&gt;&lt;/EndNote&gt;</w:instrText>
      </w:r>
      <w:r>
        <w:rPr>
          <w:rFonts w:cs="Arial"/>
        </w:rPr>
        <w:fldChar w:fldCharType="separate"/>
      </w:r>
      <w:r w:rsidRPr="003021E1">
        <w:rPr>
          <w:rFonts w:cs="Arial"/>
          <w:noProof/>
          <w:vertAlign w:val="superscript"/>
        </w:rPr>
        <w:t>33</w:t>
      </w:r>
      <w:r>
        <w:rPr>
          <w:rFonts w:cs="Arial"/>
        </w:rPr>
        <w:fldChar w:fldCharType="end"/>
      </w:r>
      <w:r w:rsidRPr="00161599">
        <w:rPr>
          <w:rFonts w:cs="Arial"/>
        </w:rPr>
        <w:t xml:space="preserve"> (Childs Fire). RUCA categories: urban core (RUCA code 1), suburban (RUCA code 2), micropolitan (RUCA codes 3, 4, 5, and 6), small town (RUCA codes 7, 8, and 9), and rural (RUCA code 10).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37" w:name="_Toc163632904"/>
      <w:bookmarkStart w:id="38" w:name="_Toc164241960"/>
      <w:bookmarkStart w:id="39" w:name="_Toc164247701"/>
      <w:bookmarkStart w:id="40" w:name="_Toc165977718"/>
      <w:r w:rsidRPr="00E95132">
        <w:rPr>
          <w:rFonts w:cs="Arial"/>
          <w:b/>
          <w:bCs/>
        </w:rPr>
        <w:instrText>Figure S8.</w:instrText>
      </w:r>
      <w:r w:rsidRPr="00E95132">
        <w:rPr>
          <w:rFonts w:cs="Arial"/>
        </w:rPr>
        <w:instrText xml:space="preserve"> Annual average population-weighted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concentrations in 2007 to concentrations by urban-rural status identified using Rural-Urban Commuting Area primary codes (RUCA) for total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(CMAQ Total),</w:instrText>
      </w:r>
      <w:r w:rsidRPr="00E95132">
        <w:rPr>
          <w:rFonts w:cs="Arial"/>
          <w:vertAlign w:val="subscript"/>
        </w:rPr>
        <w:instrText xml:space="preserve"> </w:instrText>
      </w:r>
      <w:r w:rsidRPr="00E95132">
        <w:rPr>
          <w:rFonts w:cs="Arial"/>
        </w:rPr>
        <w:instrText>non-fire PM</w:instrText>
      </w:r>
      <w:r w:rsidRPr="00E95132">
        <w:rPr>
          <w:rFonts w:cs="Arial"/>
          <w:vertAlign w:val="subscript"/>
        </w:rPr>
        <w:instrText xml:space="preserve">2.5 </w:instrText>
      </w:r>
      <w:r w:rsidRPr="00E95132">
        <w:rPr>
          <w:rFonts w:cs="Arial"/>
        </w:rPr>
        <w:instrText>(CMAQ No Fire), wildland fire-specific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(CMAQ Fire), and wildfire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estimated in </w:instrText>
      </w:r>
      <w:r>
        <w:rPr>
          <w:rFonts w:cs="Arial"/>
        </w:rPr>
        <w:instrText>Childs et al. (2022)</w:instrText>
      </w:r>
      <w:r w:rsidRPr="00E95132">
        <w:rPr>
          <w:rFonts w:cs="Arial"/>
        </w:rPr>
        <w:instrText>.</w:instrText>
      </w:r>
      <w:r w:rsidRPr="00E95132">
        <w:rPr>
          <w:rFonts w:cs="Arial"/>
          <w:noProof/>
          <w:vertAlign w:val="superscript"/>
        </w:rPr>
        <w:instrText>30</w:instrText>
      </w:r>
      <w:r w:rsidRPr="00E95132">
        <w:rPr>
          <w:rFonts w:cs="Arial"/>
        </w:rPr>
        <w:instrText xml:space="preserve"> (Childs Fire). RUCA categories: urban core (RUCA code 1), suburban (RUCA code 2), micropolitan (RUCA codes 3, 4, 5, and 6), small town (RUCA codes 7, 8, and 9), and rural (RUCA code 10).</w:instrText>
      </w:r>
      <w:bookmarkEnd w:id="37"/>
      <w:bookmarkEnd w:id="38"/>
      <w:bookmarkEnd w:id="39"/>
      <w:bookmarkEnd w:id="40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76A62189" w14:textId="77777777" w:rsidR="000067F8" w:rsidRPr="00161599" w:rsidRDefault="000067F8" w:rsidP="000067F8">
      <w:pPr>
        <w:pStyle w:val="FirstParagraph"/>
        <w:spacing w:line="480" w:lineRule="auto"/>
        <w:rPr>
          <w:rFonts w:cs="Arial"/>
        </w:rPr>
      </w:pPr>
      <w:bookmarkStart w:id="41" w:name="Xf668a42236726787a1f2defec34b193dff0faa8"/>
      <w:bookmarkEnd w:id="36"/>
      <w:r w:rsidRPr="00161599">
        <w:rPr>
          <w:rFonts w:cs="Arial"/>
          <w:noProof/>
        </w:rPr>
        <w:lastRenderedPageBreak/>
        <w:t xml:space="preserve"> </w:t>
      </w:r>
      <w:r w:rsidRPr="00161599">
        <w:rPr>
          <w:rFonts w:cs="Arial"/>
          <w:noProof/>
        </w:rPr>
        <w:drawing>
          <wp:inline distT="0" distB="0" distL="0" distR="0" wp14:anchorId="533D6E75" wp14:editId="76C36082">
            <wp:extent cx="5935969" cy="6830170"/>
            <wp:effectExtent l="0" t="0" r="8255" b="889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67472" cy="6866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17EC0" w14:textId="77777777" w:rsidR="000067F8" w:rsidRPr="00161599" w:rsidRDefault="000067F8" w:rsidP="000067F8">
      <w:pPr>
        <w:pStyle w:val="BodyText"/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>Figure S9.</w:t>
      </w:r>
      <w:r w:rsidRPr="00161599">
        <w:rPr>
          <w:rFonts w:cs="Arial"/>
        </w:rPr>
        <w:t xml:space="preserve"> Annual average population-weighted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in 2007 to 2018 by language spoken at home for total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Total),</w:t>
      </w:r>
      <w:r w:rsidRPr="00161599">
        <w:rPr>
          <w:rFonts w:cs="Arial"/>
          <w:vertAlign w:val="subscript"/>
        </w:rPr>
        <w:t xml:space="preserve"> </w:t>
      </w:r>
      <w:r w:rsidRPr="00161599">
        <w:rPr>
          <w:rFonts w:cs="Arial"/>
        </w:rPr>
        <w:t>non-fire PM</w:t>
      </w:r>
      <w:r w:rsidRPr="00161599">
        <w:rPr>
          <w:rFonts w:cs="Arial"/>
          <w:vertAlign w:val="subscript"/>
        </w:rPr>
        <w:t xml:space="preserve">2.5 </w:t>
      </w:r>
      <w:r w:rsidRPr="00161599">
        <w:rPr>
          <w:rFonts w:cs="Arial"/>
        </w:rPr>
        <w:t>(CMAQ No Fire), wildland fire-specific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Fire), and wildfire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estimated in </w:t>
      </w:r>
      <w:r>
        <w:rPr>
          <w:rFonts w:cs="Arial"/>
        </w:rPr>
        <w:t>Childs et al. (2022)</w:t>
      </w:r>
      <w:r w:rsidRPr="00161599">
        <w:rPr>
          <w:rFonts w:cs="Arial"/>
        </w:rPr>
        <w:t>.</w:t>
      </w:r>
      <w:r>
        <w:rPr>
          <w:rFonts w:cs="Arial"/>
        </w:rPr>
        <w:fldChar w:fldCharType="begin"/>
      </w:r>
      <w:r>
        <w:rPr>
          <w:rFonts w:cs="Arial"/>
        </w:rPr>
        <w:instrText xml:space="preserve"> ADDIN EN.CITE &lt;EndNote&gt;&lt;Cite&gt;&lt;Author&gt;Childs&lt;/Author&gt;&lt;Year&gt;2022&lt;/Year&gt;&lt;RecNum&gt;16&lt;/RecNum&gt;&lt;DisplayText&gt;&lt;style face="superscript"&gt;33&lt;/style&gt;&lt;/DisplayText&gt;&lt;record&gt;&lt;rec-number&gt;16&lt;/rec-number&gt;&lt;foreign-keys&gt;&lt;key app="EN" db-id="290frdwv45faxberservzdsk5rv9at2wzpvt" timestamp="1712587830"&gt;16&lt;/key&gt;&lt;/foreign-keys&gt;&lt;ref-type name="Journal Article"&gt;17&lt;/ref-type&gt;&lt;contributors&gt;&lt;authors&gt;&lt;author&gt;Childs, Marissa L.&lt;/author&gt;&lt;author&gt;Li, Jessica&lt;/author&gt;&lt;author&gt;Wen, Jeffrey&lt;/author&gt;&lt;author&gt;Heft-Neal, Sam&lt;/author&gt;&lt;author&gt;Driscoll, Anne&lt;/author&gt;&lt;author&gt;Wang, Sherrie&lt;/author&gt;&lt;author&gt;Gould, Carlos F.&lt;/author&gt;&lt;author&gt;Qiu, Minghao&lt;/author&gt;&lt;author&gt;Burney, Jennifer&lt;/author&gt;&lt;author&gt;Burke, Marshall&lt;/author&gt;&lt;/authors&gt;&lt;/contributors&gt;&lt;titles&gt;&lt;title&gt;&lt;style face="normal" font="default" size="100%"&gt;Daily Local-Level Estimates of Ambient Wildfire Smoke PM &lt;/style&gt;&lt;style face="subscript" font="default" size="100%"&gt;2.5&lt;/style&gt;&lt;style face="normal" font="default" size="100%"&gt; for the Contiguous US&lt;/style&gt;&lt;/title&gt;&lt;secondary-title&gt;Environmental Science &amp;amp; Technology&lt;/secondary-title&gt;&lt;/titles&gt;&lt;periodical&gt;&lt;full-title&gt;Environmental Science &amp;amp; Technology&lt;/full-title&gt;&lt;/periodical&gt;&lt;pages&gt;13607-13621&lt;/pages&gt;&lt;volume&gt;56&lt;/volume&gt;&lt;number&gt;19&lt;/number&gt;&lt;dates&gt;&lt;year&gt;2022&lt;/year&gt;&lt;pub-dates&gt;&lt;date&gt;2022-10-04&lt;/date&gt;&lt;/pub-dates&gt;&lt;/dates&gt;&lt;isbn&gt;0013-936X, 1520-5851&lt;/isbn&gt;&lt;urls&gt;&lt;/urls&gt;&lt;electronic-resource-num&gt;10.1021/acs.est.2c02934&lt;/electronic-resource-num&gt;&lt;remote-database-name&gt;DOI.org (Crossref)&lt;/remote-database-name&gt;&lt;language&gt;en&lt;/language&gt;&lt;access-date&gt;2024-02-02 17:01:31&lt;/access-date&gt;&lt;/record&gt;&lt;/Cite&gt;&lt;/EndNote&gt;</w:instrText>
      </w:r>
      <w:r>
        <w:rPr>
          <w:rFonts w:cs="Arial"/>
        </w:rPr>
        <w:fldChar w:fldCharType="separate"/>
      </w:r>
      <w:r w:rsidRPr="003021E1">
        <w:rPr>
          <w:rFonts w:cs="Arial"/>
          <w:noProof/>
          <w:vertAlign w:val="superscript"/>
        </w:rPr>
        <w:t>33</w:t>
      </w:r>
      <w:r>
        <w:rPr>
          <w:rFonts w:cs="Arial"/>
        </w:rPr>
        <w:fldChar w:fldCharType="end"/>
      </w:r>
      <w:r w:rsidRPr="00161599">
        <w:rPr>
          <w:rFonts w:cs="Arial"/>
        </w:rPr>
        <w:t xml:space="preserve"> (Childs Fire).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42" w:name="_Toc163632905"/>
      <w:bookmarkStart w:id="43" w:name="_Toc164241961"/>
      <w:bookmarkStart w:id="44" w:name="_Toc164247702"/>
      <w:bookmarkStart w:id="45" w:name="_Toc165977719"/>
      <w:r w:rsidRPr="00E95132">
        <w:rPr>
          <w:rFonts w:cs="Arial"/>
          <w:b/>
          <w:bCs/>
        </w:rPr>
        <w:instrText>Figure S9.</w:instrText>
      </w:r>
      <w:r w:rsidRPr="00E95132">
        <w:rPr>
          <w:rFonts w:cs="Arial"/>
        </w:rPr>
        <w:instrText xml:space="preserve"> Annual average population-weighted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concentrations in 2007 to 2018 by language spoken at home for total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(CMAQ Total),</w:instrText>
      </w:r>
      <w:r w:rsidRPr="00E95132">
        <w:rPr>
          <w:rFonts w:cs="Arial"/>
          <w:vertAlign w:val="subscript"/>
        </w:rPr>
        <w:instrText xml:space="preserve"> </w:instrText>
      </w:r>
      <w:r w:rsidRPr="00E95132">
        <w:rPr>
          <w:rFonts w:cs="Arial"/>
        </w:rPr>
        <w:instrText>non-fire PM</w:instrText>
      </w:r>
      <w:r w:rsidRPr="00E95132">
        <w:rPr>
          <w:rFonts w:cs="Arial"/>
          <w:vertAlign w:val="subscript"/>
        </w:rPr>
        <w:instrText xml:space="preserve">2.5 </w:instrText>
      </w:r>
      <w:r w:rsidRPr="00E95132">
        <w:rPr>
          <w:rFonts w:cs="Arial"/>
        </w:rPr>
        <w:instrText>(CMAQ No Fire), wildland fire-specific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(CMAQ Fire), and wildfire PM</w:instrText>
      </w:r>
      <w:r w:rsidRPr="00E95132">
        <w:rPr>
          <w:rFonts w:cs="Arial"/>
          <w:vertAlign w:val="subscript"/>
        </w:rPr>
        <w:instrText>2.5</w:instrText>
      </w:r>
      <w:r w:rsidRPr="00E95132">
        <w:rPr>
          <w:rFonts w:cs="Arial"/>
        </w:rPr>
        <w:instrText xml:space="preserve"> estimated in </w:instrText>
      </w:r>
      <w:r>
        <w:rPr>
          <w:rFonts w:cs="Arial"/>
        </w:rPr>
        <w:instrText>Childs et al. (2022)</w:instrText>
      </w:r>
      <w:r w:rsidRPr="00E95132">
        <w:rPr>
          <w:rFonts w:cs="Arial"/>
        </w:rPr>
        <w:instrText>.</w:instrText>
      </w:r>
      <w:r w:rsidRPr="00E95132">
        <w:rPr>
          <w:rFonts w:cs="Arial"/>
          <w:noProof/>
          <w:vertAlign w:val="superscript"/>
        </w:rPr>
        <w:instrText>30</w:instrText>
      </w:r>
      <w:r w:rsidRPr="00E95132">
        <w:rPr>
          <w:rFonts w:cs="Arial"/>
        </w:rPr>
        <w:instrText xml:space="preserve"> (Childs Fire).</w:instrText>
      </w:r>
      <w:bookmarkEnd w:id="42"/>
      <w:bookmarkEnd w:id="43"/>
      <w:bookmarkEnd w:id="44"/>
      <w:bookmarkEnd w:id="45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5D4880DD" w14:textId="77777777" w:rsidR="000067F8" w:rsidRPr="00161599" w:rsidRDefault="000067F8" w:rsidP="000067F8">
      <w:pPr>
        <w:pStyle w:val="FirstParagraph"/>
        <w:spacing w:line="480" w:lineRule="auto"/>
        <w:rPr>
          <w:rFonts w:cs="Arial"/>
        </w:rPr>
      </w:pPr>
      <w:bookmarkStart w:id="46" w:name="X195e817df5e8cd8bec67af7858cce17df40628f"/>
      <w:bookmarkEnd w:id="41"/>
      <w:r w:rsidRPr="00161599">
        <w:rPr>
          <w:rFonts w:cs="Arial"/>
          <w:noProof/>
        </w:rPr>
        <w:lastRenderedPageBreak/>
        <w:t xml:space="preserve"> </w:t>
      </w:r>
      <w:r w:rsidRPr="00161599">
        <w:rPr>
          <w:rFonts w:cs="Arial"/>
          <w:noProof/>
        </w:rPr>
        <w:drawing>
          <wp:inline distT="0" distB="0" distL="0" distR="0" wp14:anchorId="405A5702" wp14:editId="64C8C443">
            <wp:extent cx="4826441" cy="6592013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92166" cy="6681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47474" w14:textId="77777777" w:rsidR="000067F8" w:rsidRPr="00E95132" w:rsidRDefault="000067F8" w:rsidP="000067F8">
      <w:pPr>
        <w:pStyle w:val="BodyText"/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>Figure S10.</w:t>
      </w:r>
      <w:r w:rsidRPr="00161599">
        <w:rPr>
          <w:rFonts w:cs="Arial"/>
        </w:rPr>
        <w:t xml:space="preserve"> </w:t>
      </w:r>
      <w:bookmarkEnd w:id="46"/>
      <w:r w:rsidRPr="00161599">
        <w:rPr>
          <w:rFonts w:cs="Arial"/>
        </w:rPr>
        <w:t>Annual average population-weighted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in 2007 to 2018 by per-capita income quintile for total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Total),</w:t>
      </w:r>
      <w:r w:rsidRPr="00161599">
        <w:rPr>
          <w:rFonts w:cs="Arial"/>
          <w:vertAlign w:val="subscript"/>
        </w:rPr>
        <w:t xml:space="preserve"> </w:t>
      </w:r>
      <w:r w:rsidRPr="00161599">
        <w:rPr>
          <w:rFonts w:cs="Arial"/>
        </w:rPr>
        <w:t>non-fire PM</w:t>
      </w:r>
      <w:r w:rsidRPr="00161599">
        <w:rPr>
          <w:rFonts w:cs="Arial"/>
          <w:vertAlign w:val="subscript"/>
        </w:rPr>
        <w:t xml:space="preserve">2.5 </w:t>
      </w:r>
      <w:r w:rsidRPr="00161599">
        <w:rPr>
          <w:rFonts w:cs="Arial"/>
        </w:rPr>
        <w:t>(CMAQ No Fire), wildland fire-specific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(CMAQ Fire), and wildfire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estimated in </w:t>
      </w:r>
      <w:r>
        <w:rPr>
          <w:rFonts w:cs="Arial"/>
        </w:rPr>
        <w:t>Childs et al. (2022)</w:t>
      </w:r>
      <w:r w:rsidRPr="00161599">
        <w:rPr>
          <w:rFonts w:cs="Arial"/>
        </w:rPr>
        <w:t>.</w:t>
      </w:r>
      <w:r>
        <w:rPr>
          <w:rFonts w:cs="Arial"/>
        </w:rPr>
        <w:fldChar w:fldCharType="begin"/>
      </w:r>
      <w:r>
        <w:rPr>
          <w:rFonts w:cs="Arial"/>
        </w:rPr>
        <w:instrText xml:space="preserve"> ADDIN EN.CITE &lt;EndNote&gt;&lt;Cite&gt;&lt;Author&gt;Childs&lt;/Author&gt;&lt;Year&gt;2022&lt;/Year&gt;&lt;RecNum&gt;16&lt;/RecNum&gt;&lt;DisplayText&gt;&lt;style face="superscript"&gt;33&lt;/style&gt;&lt;/DisplayText&gt;&lt;record&gt;&lt;rec-number&gt;16&lt;/rec-number&gt;&lt;foreign-keys&gt;&lt;key app="EN" db-id="290frdwv45faxberservzdsk5rv9at2wzpvt" timestamp="1712587830"&gt;16&lt;/key&gt;&lt;/foreign-keys&gt;&lt;ref-type name="Journal Article"&gt;17&lt;/ref-type&gt;&lt;contributors&gt;&lt;authors&gt;&lt;author&gt;Childs, Marissa L.&lt;/author&gt;&lt;author&gt;Li, Jessica&lt;/author&gt;&lt;author&gt;Wen, Jeffrey&lt;/author&gt;&lt;author&gt;Heft-Neal, Sam&lt;/author&gt;&lt;author&gt;Driscoll, Anne&lt;/author&gt;&lt;author&gt;Wang, Sherrie&lt;/author&gt;&lt;author&gt;Gould, Carlos F.&lt;/author&gt;&lt;author&gt;Qiu, Minghao&lt;/author&gt;&lt;author&gt;Burney, Jennifer&lt;/author&gt;&lt;author&gt;Burke, Marshall&lt;/author&gt;&lt;/authors&gt;&lt;/contributors&gt;&lt;titles&gt;&lt;title&gt;&lt;style face="normal" font="default" size="100%"&gt;Daily Local-Level Estimates of Ambient Wildfire Smoke PM &lt;/style&gt;&lt;style face="subscript" font="default" size="100%"&gt;2.5&lt;/style&gt;&lt;style face="normal" font="default" size="100%"&gt; for the Contiguous US&lt;/style&gt;&lt;/title&gt;&lt;secondary-title&gt;Environmental Science &amp;amp; Technology&lt;/secondary-title&gt;&lt;/titles&gt;&lt;periodical&gt;&lt;full-title&gt;Environmental Science &amp;amp; Technology&lt;/full-title&gt;&lt;/periodical&gt;&lt;pages&gt;13607-13621&lt;/pages&gt;&lt;volume&gt;56&lt;/volume&gt;&lt;number&gt;19&lt;/number&gt;&lt;dates&gt;&lt;year&gt;2022&lt;/year&gt;&lt;pub-dates&gt;&lt;date&gt;2022-10-04&lt;/date&gt;&lt;/pub-dates&gt;&lt;/dates&gt;&lt;isbn&gt;0013-936X, 1520-5851&lt;/isbn&gt;&lt;urls&gt;&lt;/urls&gt;&lt;electronic-resource-num&gt;10.1021/acs.est.2c02934&lt;/electronic-resource-num&gt;&lt;remote-database-name&gt;DOI.org (Crossref)&lt;/remote-database-name&gt;&lt;language&gt;en&lt;/language&gt;&lt;access-date&gt;2024-02-02 17:01:31&lt;/access-date&gt;&lt;/record&gt;&lt;/Cite&gt;&lt;/EndNote&gt;</w:instrText>
      </w:r>
      <w:r>
        <w:rPr>
          <w:rFonts w:cs="Arial"/>
        </w:rPr>
        <w:fldChar w:fldCharType="separate"/>
      </w:r>
      <w:r w:rsidRPr="003021E1">
        <w:rPr>
          <w:rFonts w:cs="Arial"/>
          <w:noProof/>
          <w:vertAlign w:val="superscript"/>
        </w:rPr>
        <w:t>33</w:t>
      </w:r>
      <w:r>
        <w:rPr>
          <w:rFonts w:cs="Arial"/>
        </w:rPr>
        <w:fldChar w:fldCharType="end"/>
      </w:r>
      <w:r w:rsidRPr="00161599">
        <w:rPr>
          <w:rFonts w:cs="Arial"/>
        </w:rPr>
        <w:t xml:space="preserve"> (Childs Fire). Per-capita income quintiles: quintile 1: $150-$17,261, quintile 2: $17,261-$21,837, quintile 3: $21,837-$26,687, quintile 4: $26,687-$34,707, and quintile 5: $34,707-$293,610.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47" w:name="_Toc163632906"/>
      <w:bookmarkStart w:id="48" w:name="_Toc164241962"/>
      <w:bookmarkStart w:id="49" w:name="_Toc164247703"/>
      <w:bookmarkStart w:id="50" w:name="_Toc165977720"/>
      <w:r w:rsidRPr="00D52073">
        <w:rPr>
          <w:rFonts w:cs="Arial"/>
          <w:b/>
          <w:bCs/>
        </w:rPr>
        <w:instrText>Figure S10.</w:instrText>
      </w:r>
      <w:r w:rsidRPr="00D52073">
        <w:rPr>
          <w:rFonts w:cs="Arial"/>
        </w:rPr>
        <w:instrText xml:space="preserve"> Annual average population-weighted PM</w:instrText>
      </w:r>
      <w:r w:rsidRPr="00D52073">
        <w:rPr>
          <w:rFonts w:cs="Arial"/>
          <w:vertAlign w:val="subscript"/>
        </w:rPr>
        <w:instrText>2.5</w:instrText>
      </w:r>
      <w:r w:rsidRPr="00D52073">
        <w:rPr>
          <w:rFonts w:cs="Arial"/>
        </w:rPr>
        <w:instrText xml:space="preserve"> concentrations in 2007 to 2018 by per-capita income quintile for total PM</w:instrText>
      </w:r>
      <w:r w:rsidRPr="00D52073">
        <w:rPr>
          <w:rFonts w:cs="Arial"/>
          <w:vertAlign w:val="subscript"/>
        </w:rPr>
        <w:instrText>2.5</w:instrText>
      </w:r>
      <w:r w:rsidRPr="00D52073">
        <w:rPr>
          <w:rFonts w:cs="Arial"/>
        </w:rPr>
        <w:instrText xml:space="preserve"> (CMAQ Total),</w:instrText>
      </w:r>
      <w:r w:rsidRPr="00D52073">
        <w:rPr>
          <w:rFonts w:cs="Arial"/>
          <w:vertAlign w:val="subscript"/>
        </w:rPr>
        <w:instrText xml:space="preserve"> </w:instrText>
      </w:r>
      <w:r w:rsidRPr="00D52073">
        <w:rPr>
          <w:rFonts w:cs="Arial"/>
        </w:rPr>
        <w:instrText>non-fire PM</w:instrText>
      </w:r>
      <w:r w:rsidRPr="00D52073">
        <w:rPr>
          <w:rFonts w:cs="Arial"/>
          <w:vertAlign w:val="subscript"/>
        </w:rPr>
        <w:instrText xml:space="preserve">2.5 </w:instrText>
      </w:r>
      <w:r w:rsidRPr="00D52073">
        <w:rPr>
          <w:rFonts w:cs="Arial"/>
        </w:rPr>
        <w:instrText>(CMAQ No Fire), wildland fire-specific PM</w:instrText>
      </w:r>
      <w:r w:rsidRPr="00D52073">
        <w:rPr>
          <w:rFonts w:cs="Arial"/>
          <w:vertAlign w:val="subscript"/>
        </w:rPr>
        <w:instrText>2.5</w:instrText>
      </w:r>
      <w:r w:rsidRPr="00D52073">
        <w:rPr>
          <w:rFonts w:cs="Arial"/>
        </w:rPr>
        <w:instrText xml:space="preserve"> (CMAQ Fire), and wildfire PM</w:instrText>
      </w:r>
      <w:r w:rsidRPr="00D52073">
        <w:rPr>
          <w:rFonts w:cs="Arial"/>
          <w:vertAlign w:val="subscript"/>
        </w:rPr>
        <w:instrText>2.5</w:instrText>
      </w:r>
      <w:r w:rsidRPr="00D52073">
        <w:rPr>
          <w:rFonts w:cs="Arial"/>
        </w:rPr>
        <w:instrText xml:space="preserve"> estimated in </w:instrText>
      </w:r>
      <w:r>
        <w:rPr>
          <w:rFonts w:cs="Arial"/>
        </w:rPr>
        <w:instrText>Childs et al. (2022)</w:instrText>
      </w:r>
      <w:r w:rsidRPr="00D52073">
        <w:rPr>
          <w:rFonts w:cs="Arial"/>
        </w:rPr>
        <w:instrText>.</w:instrText>
      </w:r>
      <w:r w:rsidRPr="00D52073">
        <w:rPr>
          <w:rFonts w:cs="Arial"/>
          <w:noProof/>
          <w:vertAlign w:val="superscript"/>
        </w:rPr>
        <w:instrText>30</w:instrText>
      </w:r>
      <w:r w:rsidRPr="00D52073">
        <w:rPr>
          <w:rFonts w:cs="Arial"/>
        </w:rPr>
        <w:instrText xml:space="preserve"> (Childs Fire). Per-capita income quintiles: quintile 1: $150-$17,261, quintile 2: $17,261-$21,837, quintile 3: $21,837-$26,687, quintile 4: $26,687-$34,707, and quintile 5: $34,707-$293,610.</w:instrText>
      </w:r>
      <w:bookmarkEnd w:id="47"/>
      <w:bookmarkEnd w:id="48"/>
      <w:bookmarkEnd w:id="49"/>
      <w:bookmarkEnd w:id="50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  <w:r w:rsidRPr="00161599">
        <w:rPr>
          <w:rFonts w:cs="Arial"/>
        </w:rPr>
        <w:t xml:space="preserve">  </w:t>
      </w:r>
    </w:p>
    <w:p w14:paraId="11745BA3" w14:textId="77777777" w:rsidR="000067F8" w:rsidRPr="00161599" w:rsidRDefault="000067F8" w:rsidP="000067F8">
      <w:pPr>
        <w:rPr>
          <w:rFonts w:cs="Arial"/>
          <w:b/>
          <w:bCs/>
        </w:rPr>
      </w:pPr>
      <w:r w:rsidRPr="00161599">
        <w:rPr>
          <w:rFonts w:cs="Arial"/>
          <w:b/>
          <w:bCs/>
          <w:noProof/>
        </w:rPr>
        <w:lastRenderedPageBreak/>
        <w:drawing>
          <wp:inline distT="0" distB="0" distL="0" distR="0" wp14:anchorId="051E24B2" wp14:editId="707278C8">
            <wp:extent cx="4880610" cy="3343894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87478" cy="33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C395B" w14:textId="77777777" w:rsidR="000067F8" w:rsidRPr="00161599" w:rsidRDefault="000067F8" w:rsidP="000067F8">
      <w:pPr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>Figure S11.</w:t>
      </w:r>
      <w:r w:rsidRPr="00161599">
        <w:rPr>
          <w:rFonts w:cs="Arial"/>
        </w:rPr>
        <w:t xml:space="preserve"> Population weighted 98</w:t>
      </w:r>
      <w:r w:rsidRPr="00161599">
        <w:rPr>
          <w:rFonts w:cs="Arial"/>
          <w:vertAlign w:val="superscript"/>
        </w:rPr>
        <w:t>th</w:t>
      </w:r>
      <w:r w:rsidRPr="00161599">
        <w:rPr>
          <w:rFonts w:cs="Arial"/>
        </w:rPr>
        <w:t xml:space="preserve"> percentile of contiguous United States daily average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in 2007 to 2018.</w:t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51" w:name="_Toc163632907"/>
      <w:bookmarkStart w:id="52" w:name="_Toc164241963"/>
      <w:bookmarkStart w:id="53" w:name="_Toc164247704"/>
      <w:bookmarkStart w:id="54" w:name="_Toc165977721"/>
      <w:r w:rsidRPr="00161599">
        <w:rPr>
          <w:rFonts w:cs="Arial"/>
          <w:b/>
          <w:bCs/>
        </w:rPr>
        <w:instrText>Figure S11.</w:instrText>
      </w:r>
      <w:r w:rsidRPr="00161599">
        <w:rPr>
          <w:rFonts w:cs="Arial"/>
        </w:rPr>
        <w:instrText xml:space="preserve"> Population weighted 98</w:instrText>
      </w:r>
      <w:r w:rsidRPr="00161599">
        <w:rPr>
          <w:rFonts w:cs="Arial"/>
          <w:vertAlign w:val="superscript"/>
        </w:rPr>
        <w:instrText>th</w:instrText>
      </w:r>
      <w:r w:rsidRPr="00161599">
        <w:rPr>
          <w:rFonts w:cs="Arial"/>
        </w:rPr>
        <w:instrText xml:space="preserve"> percentile of contiguous United States daily average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</w:rPr>
        <w:instrText xml:space="preserve"> concentrations in 2007 to 2018.</w:instrText>
      </w:r>
      <w:bookmarkEnd w:id="51"/>
      <w:bookmarkEnd w:id="52"/>
      <w:bookmarkEnd w:id="53"/>
      <w:bookmarkEnd w:id="54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p w14:paraId="7C613A49" w14:textId="77777777" w:rsidR="000067F8" w:rsidRPr="00161599" w:rsidRDefault="000067F8" w:rsidP="000067F8">
      <w:pPr>
        <w:keepNext/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729092BB" wp14:editId="2F59F65D">
            <wp:extent cx="5752228" cy="7219784"/>
            <wp:effectExtent l="0" t="0" r="127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71254" cy="7243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2FB73" w14:textId="3645C50E" w:rsidR="00632D07" w:rsidRDefault="000067F8" w:rsidP="000067F8">
      <w:pPr>
        <w:spacing w:line="240" w:lineRule="auto"/>
        <w:rPr>
          <w:rFonts w:cs="Arial"/>
        </w:rPr>
      </w:pPr>
      <w:r w:rsidRPr="00161599">
        <w:rPr>
          <w:rFonts w:cs="Arial"/>
          <w:b/>
        </w:rPr>
        <w:t>Figure S12.</w:t>
      </w:r>
      <w:r w:rsidRPr="00161599">
        <w:rPr>
          <w:rFonts w:cs="Arial"/>
        </w:rPr>
        <w:t xml:space="preserve"> Annual population-weighted 98</w:t>
      </w:r>
      <w:r w:rsidRPr="00161599">
        <w:rPr>
          <w:rFonts w:cs="Arial"/>
          <w:vertAlign w:val="superscript"/>
        </w:rPr>
        <w:t>th</w:t>
      </w:r>
      <w:r w:rsidRPr="00161599">
        <w:rPr>
          <w:rFonts w:cs="Arial"/>
        </w:rPr>
        <w:t xml:space="preserve"> percentile of </w:t>
      </w:r>
      <w:r>
        <w:rPr>
          <w:rFonts w:cs="Arial"/>
        </w:rPr>
        <w:t>2007 to 2018</w:t>
      </w:r>
      <w:r w:rsidRPr="00161599">
        <w:rPr>
          <w:rFonts w:cs="Arial"/>
        </w:rPr>
        <w:t xml:space="preserve"> daily total CMAQ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exposure by region, primary rural urban commuting area code (RUCA 1), race/ethnicity, language, and quintile of per-capita income.</w:t>
      </w:r>
      <w:r w:rsidR="00BC1C0F">
        <w:rPr>
          <w:rFonts w:cs="Arial"/>
        </w:rPr>
        <w:fldChar w:fldCharType="begin"/>
      </w:r>
      <w:r w:rsidR="00BC1C0F">
        <w:instrText xml:space="preserve"> TC "</w:instrText>
      </w:r>
      <w:bookmarkStart w:id="55" w:name="_Toc165977722"/>
      <w:r w:rsidR="00BC1C0F" w:rsidRPr="00E17FB5">
        <w:rPr>
          <w:rFonts w:cs="Arial"/>
          <w:b/>
        </w:rPr>
        <w:instrText>Figure S12.</w:instrText>
      </w:r>
      <w:r w:rsidR="00BC1C0F" w:rsidRPr="00E17FB5">
        <w:rPr>
          <w:rFonts w:cs="Arial"/>
        </w:rPr>
        <w:instrText xml:space="preserve"> Annual population-weighted 98</w:instrText>
      </w:r>
      <w:r w:rsidR="00BC1C0F" w:rsidRPr="00E17FB5">
        <w:rPr>
          <w:rFonts w:cs="Arial"/>
          <w:vertAlign w:val="superscript"/>
        </w:rPr>
        <w:instrText>th</w:instrText>
      </w:r>
      <w:r w:rsidR="00BC1C0F" w:rsidRPr="00E17FB5">
        <w:rPr>
          <w:rFonts w:cs="Arial"/>
        </w:rPr>
        <w:instrText xml:space="preserve"> percentile of 2007 to 2018 daily total CMAQ PM</w:instrText>
      </w:r>
      <w:r w:rsidR="00BC1C0F" w:rsidRPr="00E17FB5">
        <w:rPr>
          <w:rFonts w:cs="Arial"/>
          <w:vertAlign w:val="subscript"/>
        </w:rPr>
        <w:instrText>2.5</w:instrText>
      </w:r>
      <w:r w:rsidR="00BC1C0F" w:rsidRPr="00E17FB5">
        <w:rPr>
          <w:rFonts w:cs="Arial"/>
        </w:rPr>
        <w:instrText xml:space="preserve"> exposure by region, primary rural urban commuting area code (RUCA 1), race/ethnicity, language, and quintile of per-capita income.</w:instrText>
      </w:r>
      <w:bookmarkEnd w:id="55"/>
      <w:r w:rsidR="00BC1C0F">
        <w:instrText xml:space="preserve">" \f B \l "1" </w:instrText>
      </w:r>
      <w:r w:rsidR="00BC1C0F">
        <w:rPr>
          <w:rFonts w:cs="Arial"/>
        </w:rPr>
        <w:fldChar w:fldCharType="end"/>
      </w:r>
    </w:p>
    <w:p w14:paraId="2683A557" w14:textId="77777777" w:rsidR="00383257" w:rsidRDefault="00FB08F3" w:rsidP="000067F8">
      <w:pPr>
        <w:spacing w:line="240" w:lineRule="auto"/>
        <w:rPr>
          <w:noProof/>
          <w14:ligatures w14:val="standardContextual"/>
        </w:rPr>
      </w:pPr>
      <w:r w:rsidRPr="00FB08F3">
        <w:rPr>
          <w:rFonts w:cs="Arial"/>
          <w:noProof/>
        </w:rPr>
        <w:lastRenderedPageBreak/>
        <w:drawing>
          <wp:inline distT="0" distB="0" distL="0" distR="0" wp14:anchorId="62A9B9BC" wp14:editId="4FE55D6C">
            <wp:extent cx="5943600" cy="49428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08F3">
        <w:rPr>
          <w:noProof/>
          <w14:ligatures w14:val="standardContextual"/>
        </w:rPr>
        <w:t xml:space="preserve"> </w:t>
      </w:r>
    </w:p>
    <w:p w14:paraId="236AD38C" w14:textId="0B82A1F2" w:rsidR="00383257" w:rsidRPr="00842723" w:rsidRDefault="00383257" w:rsidP="00383257">
      <w:pPr>
        <w:spacing w:line="240" w:lineRule="auto"/>
      </w:pPr>
      <w:r w:rsidRPr="00161599">
        <w:rPr>
          <w:rFonts w:cs="Arial"/>
          <w:b/>
          <w:bCs/>
        </w:rPr>
        <w:t xml:space="preserve">Figure </w:t>
      </w:r>
      <w:r>
        <w:rPr>
          <w:rFonts w:cs="Arial"/>
          <w:b/>
          <w:bCs/>
        </w:rPr>
        <w:t>S13</w:t>
      </w:r>
      <w:r w:rsidRPr="00161599">
        <w:rPr>
          <w:rFonts w:cs="Arial"/>
          <w:b/>
          <w:bCs/>
        </w:rPr>
        <w:t xml:space="preserve">. </w:t>
      </w:r>
      <w:r w:rsidRPr="00161599">
        <w:rPr>
          <w:rFonts w:cs="Arial"/>
        </w:rPr>
        <w:t>Relative burden of total (CMAQ Total), wildland fire (CMAQ Fire), non-fire (CMAQ No Fire)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by Rural-Urban Commuting Area (RUCA) urbanicity classifications, race and ethnicity, language spoken at home, and per-capita income quintile</w:t>
      </w:r>
      <w:r>
        <w:rPr>
          <w:rFonts w:cs="Arial"/>
        </w:rPr>
        <w:t xml:space="preserve"> in the midwest</w:t>
      </w:r>
      <w:r w:rsidRPr="00161599">
        <w:rPr>
          <w:rFonts w:cs="Arial"/>
        </w:rPr>
        <w:t>.</w:t>
      </w:r>
      <w:r>
        <w:rPr>
          <w:rFonts w:cs="Arial"/>
        </w:rPr>
        <w:t xml:space="preserve"> Regional subgroup concentrations are compared to overall CONUS concentrations.</w:t>
      </w:r>
      <w:r w:rsidR="00874547">
        <w:rPr>
          <w:rFonts w:cs="Arial"/>
        </w:rPr>
        <w:fldChar w:fldCharType="begin"/>
      </w:r>
      <w:r w:rsidR="00874547">
        <w:instrText xml:space="preserve"> TC "</w:instrText>
      </w:r>
      <w:bookmarkStart w:id="56" w:name="_Toc165977723"/>
      <w:r w:rsidR="00874547" w:rsidRPr="008E36BE">
        <w:rPr>
          <w:rFonts w:cs="Arial"/>
          <w:b/>
          <w:bCs/>
        </w:rPr>
        <w:instrText xml:space="preserve">Figure S13. </w:instrText>
      </w:r>
      <w:r w:rsidR="00874547" w:rsidRPr="008E36BE">
        <w:rPr>
          <w:rFonts w:cs="Arial"/>
        </w:rPr>
        <w:instrText>Relative burden of total (CMAQ Total), wildland fire (CMAQ Fire), non-fire (CMAQ No Fire) PM</w:instrText>
      </w:r>
      <w:r w:rsidR="00874547" w:rsidRPr="008E36BE">
        <w:rPr>
          <w:rFonts w:cs="Arial"/>
          <w:vertAlign w:val="subscript"/>
        </w:rPr>
        <w:instrText>2.5</w:instrText>
      </w:r>
      <w:r w:rsidR="00874547" w:rsidRPr="008E36BE">
        <w:rPr>
          <w:rFonts w:cs="Arial"/>
        </w:rPr>
        <w:instrText xml:space="preserve"> concentrations by Rural-Urban Commuting Area (RUCA) urbanicity classifications, race and ethnicity, language spoken at home, and per-capita income quintile in the midwest. Regional subgroup concentrations are compared to overall CONUS concentrations.</w:instrText>
      </w:r>
      <w:bookmarkEnd w:id="56"/>
      <w:r w:rsidR="00874547">
        <w:instrText xml:space="preserve">" \f B \l "1" </w:instrText>
      </w:r>
      <w:r w:rsidR="00874547">
        <w:rPr>
          <w:rFonts w:cs="Arial"/>
        </w:rPr>
        <w:fldChar w:fldCharType="end"/>
      </w:r>
    </w:p>
    <w:p w14:paraId="28F9FCDF" w14:textId="77777777" w:rsidR="00383257" w:rsidRDefault="00FB08F3" w:rsidP="000067F8">
      <w:pPr>
        <w:spacing w:line="240" w:lineRule="auto"/>
        <w:rPr>
          <w:noProof/>
          <w14:ligatures w14:val="standardContextual"/>
        </w:rPr>
      </w:pPr>
      <w:r w:rsidRPr="00FB08F3">
        <w:rPr>
          <w:rFonts w:cs="Arial"/>
          <w:noProof/>
        </w:rPr>
        <w:lastRenderedPageBreak/>
        <w:drawing>
          <wp:inline distT="0" distB="0" distL="0" distR="0" wp14:anchorId="568AA644" wp14:editId="3AC46602">
            <wp:extent cx="5943600" cy="49428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08F3">
        <w:rPr>
          <w:noProof/>
          <w14:ligatures w14:val="standardContextual"/>
        </w:rPr>
        <w:t xml:space="preserve"> </w:t>
      </w:r>
    </w:p>
    <w:p w14:paraId="1966B68E" w14:textId="15710C6D" w:rsidR="00383257" w:rsidRPr="00842723" w:rsidRDefault="00383257" w:rsidP="00383257">
      <w:pPr>
        <w:spacing w:line="240" w:lineRule="auto"/>
      </w:pPr>
      <w:r w:rsidRPr="00161599">
        <w:rPr>
          <w:rFonts w:cs="Arial"/>
          <w:b/>
          <w:bCs/>
        </w:rPr>
        <w:t xml:space="preserve">Figure </w:t>
      </w:r>
      <w:r>
        <w:rPr>
          <w:rFonts w:cs="Arial"/>
          <w:b/>
          <w:bCs/>
        </w:rPr>
        <w:t>S14</w:t>
      </w:r>
      <w:r w:rsidRPr="00161599">
        <w:rPr>
          <w:rFonts w:cs="Arial"/>
          <w:b/>
          <w:bCs/>
        </w:rPr>
        <w:t xml:space="preserve">. </w:t>
      </w:r>
      <w:r w:rsidRPr="00161599">
        <w:rPr>
          <w:rFonts w:cs="Arial"/>
        </w:rPr>
        <w:t>Relative burden of total (CMAQ Total), wildland fire (CMAQ Fire), non-fire (CMAQ No Fire)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by Rural-Urban Commuting Area (RUCA) urbanicity classifications, race and ethnicity, language spoken at home, and per-capita income quintile</w:t>
      </w:r>
      <w:r>
        <w:rPr>
          <w:rFonts w:cs="Arial"/>
        </w:rPr>
        <w:t xml:space="preserve"> in the northeast</w:t>
      </w:r>
      <w:r w:rsidRPr="00161599">
        <w:rPr>
          <w:rFonts w:cs="Arial"/>
        </w:rPr>
        <w:t>.</w:t>
      </w:r>
      <w:r>
        <w:rPr>
          <w:rFonts w:cs="Arial"/>
        </w:rPr>
        <w:t xml:space="preserve"> Regional subgroup concentrations are compared to overall CONUS concentrations.</w:t>
      </w:r>
      <w:r w:rsidR="000B2D8F">
        <w:rPr>
          <w:rFonts w:cs="Arial"/>
        </w:rPr>
        <w:fldChar w:fldCharType="begin"/>
      </w:r>
      <w:r w:rsidR="000B2D8F">
        <w:instrText xml:space="preserve"> TC "</w:instrText>
      </w:r>
      <w:bookmarkStart w:id="57" w:name="_Toc165977724"/>
      <w:r w:rsidR="000B2D8F" w:rsidRPr="00012213">
        <w:rPr>
          <w:rFonts w:cs="Arial"/>
          <w:b/>
          <w:bCs/>
        </w:rPr>
        <w:instrText xml:space="preserve">Figure S14. </w:instrText>
      </w:r>
      <w:r w:rsidR="000B2D8F" w:rsidRPr="00012213">
        <w:rPr>
          <w:rFonts w:cs="Arial"/>
        </w:rPr>
        <w:instrText>Relative burden of total (CMAQ Total), wildland fire (CMAQ Fire), non-fire (CMAQ No Fire) PM</w:instrText>
      </w:r>
      <w:r w:rsidR="000B2D8F" w:rsidRPr="00012213">
        <w:rPr>
          <w:rFonts w:cs="Arial"/>
          <w:vertAlign w:val="subscript"/>
        </w:rPr>
        <w:instrText>2.5</w:instrText>
      </w:r>
      <w:r w:rsidR="000B2D8F" w:rsidRPr="00012213">
        <w:rPr>
          <w:rFonts w:cs="Arial"/>
        </w:rPr>
        <w:instrText xml:space="preserve"> concentrations by Rural-Urban Commuting Area (RUCA) urbanicity classifications, race and ethnicity, language spoken at home, and per-capita income quintile in the northeast. Regional subgroup concentrations are compared to overall CONUS concentrations.</w:instrText>
      </w:r>
      <w:bookmarkEnd w:id="57"/>
      <w:r w:rsidR="000B2D8F">
        <w:instrText xml:space="preserve">" \f B \l "1" </w:instrText>
      </w:r>
      <w:r w:rsidR="000B2D8F">
        <w:rPr>
          <w:rFonts w:cs="Arial"/>
        </w:rPr>
        <w:fldChar w:fldCharType="end"/>
      </w:r>
    </w:p>
    <w:p w14:paraId="37EB83ED" w14:textId="77777777" w:rsidR="00383257" w:rsidRDefault="00FB08F3" w:rsidP="000067F8">
      <w:pPr>
        <w:spacing w:line="240" w:lineRule="auto"/>
        <w:rPr>
          <w:noProof/>
          <w14:ligatures w14:val="standardContextual"/>
        </w:rPr>
      </w:pPr>
      <w:r w:rsidRPr="00FB08F3">
        <w:rPr>
          <w:noProof/>
          <w14:ligatures w14:val="standardContextual"/>
        </w:rPr>
        <w:lastRenderedPageBreak/>
        <w:drawing>
          <wp:inline distT="0" distB="0" distL="0" distR="0" wp14:anchorId="11EC30FE" wp14:editId="6A96A212">
            <wp:extent cx="5943600" cy="49428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08F3">
        <w:rPr>
          <w:noProof/>
          <w14:ligatures w14:val="standardContextual"/>
        </w:rPr>
        <w:t xml:space="preserve"> </w:t>
      </w:r>
    </w:p>
    <w:p w14:paraId="6130F3BC" w14:textId="34DF9240" w:rsidR="00383257" w:rsidRPr="00842723" w:rsidRDefault="00383257" w:rsidP="00383257">
      <w:pPr>
        <w:spacing w:line="240" w:lineRule="auto"/>
      </w:pPr>
      <w:r w:rsidRPr="00161599">
        <w:rPr>
          <w:rFonts w:cs="Arial"/>
          <w:b/>
          <w:bCs/>
        </w:rPr>
        <w:t xml:space="preserve">Figure </w:t>
      </w:r>
      <w:r>
        <w:rPr>
          <w:rFonts w:cs="Arial"/>
          <w:b/>
          <w:bCs/>
        </w:rPr>
        <w:t>S15</w:t>
      </w:r>
      <w:r w:rsidRPr="00161599">
        <w:rPr>
          <w:rFonts w:cs="Arial"/>
          <w:b/>
          <w:bCs/>
        </w:rPr>
        <w:t xml:space="preserve">. </w:t>
      </w:r>
      <w:r w:rsidRPr="00161599">
        <w:rPr>
          <w:rFonts w:cs="Arial"/>
        </w:rPr>
        <w:t>Relative burden of total (CMAQ Total), wildland fire (CMAQ Fire), non-fire (CMAQ No Fire)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by Rural-Urban Commuting Area (RUCA) urbanicity classifications, race and ethnicity, language spoken at home, and per-capita income quintile</w:t>
      </w:r>
      <w:r>
        <w:rPr>
          <w:rFonts w:cs="Arial"/>
        </w:rPr>
        <w:t xml:space="preserve"> in the northern great plains</w:t>
      </w:r>
      <w:r w:rsidRPr="00161599">
        <w:rPr>
          <w:rFonts w:cs="Arial"/>
        </w:rPr>
        <w:t>.</w:t>
      </w:r>
      <w:r>
        <w:rPr>
          <w:rFonts w:cs="Arial"/>
        </w:rPr>
        <w:t xml:space="preserve"> Regional subgroup concentrations are compared to overall CONUS concentrations.</w:t>
      </w:r>
      <w:r w:rsidR="000B2D8F">
        <w:rPr>
          <w:rFonts w:cs="Arial"/>
        </w:rPr>
        <w:fldChar w:fldCharType="begin"/>
      </w:r>
      <w:r w:rsidR="000B2D8F">
        <w:instrText xml:space="preserve"> TC "</w:instrText>
      </w:r>
      <w:bookmarkStart w:id="58" w:name="_Toc165977725"/>
      <w:r w:rsidR="000B2D8F" w:rsidRPr="00B34F4F">
        <w:rPr>
          <w:rFonts w:cs="Arial"/>
          <w:b/>
          <w:bCs/>
        </w:rPr>
        <w:instrText xml:space="preserve">Figure S15. </w:instrText>
      </w:r>
      <w:r w:rsidR="000B2D8F" w:rsidRPr="00B34F4F">
        <w:rPr>
          <w:rFonts w:cs="Arial"/>
        </w:rPr>
        <w:instrText>Relative burden of total (CMAQ Total), wildland fire (CMAQ Fire), non-fire (CMAQ No Fire) PM</w:instrText>
      </w:r>
      <w:r w:rsidR="000B2D8F" w:rsidRPr="00B34F4F">
        <w:rPr>
          <w:rFonts w:cs="Arial"/>
          <w:vertAlign w:val="subscript"/>
        </w:rPr>
        <w:instrText>2.5</w:instrText>
      </w:r>
      <w:r w:rsidR="000B2D8F" w:rsidRPr="00B34F4F">
        <w:rPr>
          <w:rFonts w:cs="Arial"/>
        </w:rPr>
        <w:instrText xml:space="preserve"> concentrations by Rural-Urban Commuting Area (RUCA) urbanicity classifications, race and ethnicity, language spoken at home, and per-capita income quintile in the northern great plains. Regional subgroup concentrations are compared to overall CONUS concentrations.</w:instrText>
      </w:r>
      <w:bookmarkEnd w:id="58"/>
      <w:r w:rsidR="000B2D8F">
        <w:instrText xml:space="preserve">" \f B \l "1" </w:instrText>
      </w:r>
      <w:r w:rsidR="000B2D8F">
        <w:rPr>
          <w:rFonts w:cs="Arial"/>
        </w:rPr>
        <w:fldChar w:fldCharType="end"/>
      </w:r>
    </w:p>
    <w:p w14:paraId="5C9D7FE6" w14:textId="77777777" w:rsidR="00383257" w:rsidRDefault="00FB08F3" w:rsidP="000067F8">
      <w:pPr>
        <w:spacing w:line="240" w:lineRule="auto"/>
        <w:rPr>
          <w:noProof/>
          <w14:ligatures w14:val="standardContextual"/>
        </w:rPr>
      </w:pPr>
      <w:r w:rsidRPr="00FB08F3">
        <w:rPr>
          <w:noProof/>
          <w14:ligatures w14:val="standardContextual"/>
        </w:rPr>
        <w:lastRenderedPageBreak/>
        <w:drawing>
          <wp:inline distT="0" distB="0" distL="0" distR="0" wp14:anchorId="31AA3497" wp14:editId="7BF206EC">
            <wp:extent cx="5943600" cy="494284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08F3">
        <w:rPr>
          <w:noProof/>
          <w14:ligatures w14:val="standardContextual"/>
        </w:rPr>
        <w:t xml:space="preserve"> </w:t>
      </w:r>
    </w:p>
    <w:p w14:paraId="21407C6A" w14:textId="2A213EB5" w:rsidR="00383257" w:rsidRPr="00842723" w:rsidRDefault="00383257" w:rsidP="00383257">
      <w:pPr>
        <w:spacing w:line="240" w:lineRule="auto"/>
      </w:pPr>
      <w:r w:rsidRPr="00161599">
        <w:rPr>
          <w:rFonts w:cs="Arial"/>
          <w:b/>
          <w:bCs/>
        </w:rPr>
        <w:t xml:space="preserve">Figure </w:t>
      </w:r>
      <w:r>
        <w:rPr>
          <w:rFonts w:cs="Arial"/>
          <w:b/>
          <w:bCs/>
        </w:rPr>
        <w:t>S16</w:t>
      </w:r>
      <w:r w:rsidRPr="00161599">
        <w:rPr>
          <w:rFonts w:cs="Arial"/>
          <w:b/>
          <w:bCs/>
        </w:rPr>
        <w:t xml:space="preserve">. </w:t>
      </w:r>
      <w:r w:rsidRPr="00161599">
        <w:rPr>
          <w:rFonts w:cs="Arial"/>
        </w:rPr>
        <w:t>Relative burden of total (CMAQ Total), wildland fire (CMAQ Fire), non-fire (CMAQ No Fire)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by Rural-Urban Commuting Area (RUCA) urbanicity classifications, race and ethnicity, language spoken at home, and per-capita income quintile</w:t>
      </w:r>
      <w:r>
        <w:rPr>
          <w:rFonts w:cs="Arial"/>
        </w:rPr>
        <w:t xml:space="preserve"> in the southern great plains</w:t>
      </w:r>
      <w:r w:rsidRPr="00161599">
        <w:rPr>
          <w:rFonts w:cs="Arial"/>
        </w:rPr>
        <w:t>.</w:t>
      </w:r>
      <w:r>
        <w:rPr>
          <w:rFonts w:cs="Arial"/>
        </w:rPr>
        <w:t xml:space="preserve"> Regional subgroup concentrations are compared to overall CONUS concentrations.</w:t>
      </w:r>
      <w:r w:rsidR="000B2D8F">
        <w:rPr>
          <w:rFonts w:cs="Arial"/>
        </w:rPr>
        <w:fldChar w:fldCharType="begin"/>
      </w:r>
      <w:r w:rsidR="000B2D8F">
        <w:instrText xml:space="preserve"> TC "</w:instrText>
      </w:r>
      <w:bookmarkStart w:id="59" w:name="_Toc165977726"/>
      <w:r w:rsidR="000B2D8F" w:rsidRPr="00B51014">
        <w:rPr>
          <w:rFonts w:cs="Arial"/>
          <w:b/>
          <w:bCs/>
        </w:rPr>
        <w:instrText xml:space="preserve">Figure S16. </w:instrText>
      </w:r>
      <w:r w:rsidR="000B2D8F" w:rsidRPr="00B51014">
        <w:rPr>
          <w:rFonts w:cs="Arial"/>
        </w:rPr>
        <w:instrText>Relative burden of total (CMAQ Total), wildland fire (CMAQ Fire), non-fire (CMAQ No Fire) PM</w:instrText>
      </w:r>
      <w:r w:rsidR="000B2D8F" w:rsidRPr="00B51014">
        <w:rPr>
          <w:rFonts w:cs="Arial"/>
          <w:vertAlign w:val="subscript"/>
        </w:rPr>
        <w:instrText>2.5</w:instrText>
      </w:r>
      <w:r w:rsidR="000B2D8F" w:rsidRPr="00B51014">
        <w:rPr>
          <w:rFonts w:cs="Arial"/>
        </w:rPr>
        <w:instrText xml:space="preserve"> concentrations by Rural-Urban Commuting Area (RUCA) urbanicity classifications, race and ethnicity, language spoken at home, and per-capita income quintile in the southern great plains. Regional subgroup concentrations are compared to overall CONUS concentrations.</w:instrText>
      </w:r>
      <w:bookmarkEnd w:id="59"/>
      <w:r w:rsidR="000B2D8F">
        <w:instrText xml:space="preserve">" \f B \l "1" </w:instrText>
      </w:r>
      <w:r w:rsidR="000B2D8F">
        <w:rPr>
          <w:rFonts w:cs="Arial"/>
        </w:rPr>
        <w:fldChar w:fldCharType="end"/>
      </w:r>
    </w:p>
    <w:p w14:paraId="38DBE720" w14:textId="1A5C28FF" w:rsidR="00FB08F3" w:rsidRDefault="00FB08F3" w:rsidP="000067F8">
      <w:pPr>
        <w:spacing w:line="240" w:lineRule="auto"/>
        <w:rPr>
          <w:rFonts w:cs="Arial"/>
        </w:rPr>
      </w:pPr>
      <w:r w:rsidRPr="00FB08F3">
        <w:rPr>
          <w:noProof/>
          <w14:ligatures w14:val="standardContextual"/>
        </w:rPr>
        <w:lastRenderedPageBreak/>
        <w:drawing>
          <wp:inline distT="0" distB="0" distL="0" distR="0" wp14:anchorId="0623216F" wp14:editId="481BF0E6">
            <wp:extent cx="5943600" cy="494284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4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51708" w14:textId="77777777" w:rsidR="00565C2B" w:rsidRDefault="00383257" w:rsidP="000067F8">
      <w:pPr>
        <w:spacing w:line="240" w:lineRule="auto"/>
        <w:rPr>
          <w:rFonts w:cs="Arial"/>
        </w:rPr>
      </w:pPr>
      <w:r w:rsidRPr="00161599">
        <w:rPr>
          <w:rFonts w:cs="Arial"/>
          <w:b/>
          <w:bCs/>
        </w:rPr>
        <w:t xml:space="preserve">Figure </w:t>
      </w:r>
      <w:r>
        <w:rPr>
          <w:rFonts w:cs="Arial"/>
          <w:b/>
          <w:bCs/>
        </w:rPr>
        <w:t>S17</w:t>
      </w:r>
      <w:r w:rsidRPr="00161599">
        <w:rPr>
          <w:rFonts w:cs="Arial"/>
          <w:b/>
          <w:bCs/>
        </w:rPr>
        <w:t xml:space="preserve">. </w:t>
      </w:r>
      <w:r w:rsidRPr="00161599">
        <w:rPr>
          <w:rFonts w:cs="Arial"/>
        </w:rPr>
        <w:t>Relative burden of total (CMAQ Total), wildland fire (CMAQ Fire), non-fire (CMAQ No Fire) PM</w:t>
      </w:r>
      <w:r w:rsidRPr="00161599">
        <w:rPr>
          <w:rFonts w:cs="Arial"/>
          <w:vertAlign w:val="subscript"/>
        </w:rPr>
        <w:t>2.5</w:t>
      </w:r>
      <w:r w:rsidRPr="00161599">
        <w:rPr>
          <w:rFonts w:cs="Arial"/>
        </w:rPr>
        <w:t xml:space="preserve"> concentrations by Rural-Urban Commuting Area (RUCA) urbanicity classifications, race and ethnicity, language spoken at home, and per-capita income quintile</w:t>
      </w:r>
      <w:r>
        <w:rPr>
          <w:rFonts w:cs="Arial"/>
        </w:rPr>
        <w:t xml:space="preserve"> in the southwest</w:t>
      </w:r>
      <w:r w:rsidRPr="00161599">
        <w:rPr>
          <w:rFonts w:cs="Arial"/>
        </w:rPr>
        <w:t>.</w:t>
      </w:r>
      <w:r>
        <w:rPr>
          <w:rFonts w:cs="Arial"/>
        </w:rPr>
        <w:t xml:space="preserve"> Regional subgroup</w:t>
      </w:r>
      <w:r w:rsidR="00565C2B">
        <w:rPr>
          <w:rFonts w:cs="Arial"/>
        </w:rPr>
        <w:t xml:space="preserve"> </w:t>
      </w:r>
      <w:r>
        <w:rPr>
          <w:rFonts w:cs="Arial"/>
        </w:rPr>
        <w:t>concentrations are compared to overall CONUS concentrations.</w:t>
      </w:r>
    </w:p>
    <w:p w14:paraId="61EEBD37" w14:textId="3C915636" w:rsidR="00383257" w:rsidRPr="00C3001C" w:rsidRDefault="000B2D8F" w:rsidP="000067F8">
      <w:pPr>
        <w:spacing w:line="240" w:lineRule="auto"/>
      </w:pPr>
      <w:r>
        <w:rPr>
          <w:rFonts w:cs="Arial"/>
        </w:rPr>
        <w:fldChar w:fldCharType="begin"/>
      </w:r>
      <w:r>
        <w:instrText xml:space="preserve"> TC "</w:instrText>
      </w:r>
      <w:bookmarkStart w:id="60" w:name="_Toc165977727"/>
      <w:r w:rsidRPr="005B03D9">
        <w:rPr>
          <w:rFonts w:cs="Arial"/>
          <w:b/>
          <w:bCs/>
        </w:rPr>
        <w:instrText xml:space="preserve">Figure S17. </w:instrText>
      </w:r>
      <w:r w:rsidRPr="005B03D9">
        <w:rPr>
          <w:rFonts w:cs="Arial"/>
        </w:rPr>
        <w:instrText>Relative burden of total (CMAQ Total), wildland fire (CMAQ Fire), non-fire (CMAQ No Fire) PM</w:instrText>
      </w:r>
      <w:r w:rsidRPr="005B03D9">
        <w:rPr>
          <w:rFonts w:cs="Arial"/>
          <w:vertAlign w:val="subscript"/>
        </w:rPr>
        <w:instrText>2.5</w:instrText>
      </w:r>
      <w:r w:rsidRPr="005B03D9">
        <w:rPr>
          <w:rFonts w:cs="Arial"/>
        </w:rPr>
        <w:instrText xml:space="preserve"> concentrations by Rural-Urban Commuting Area (RUCA) urbanicity classifications, race and ethnicity, language spoken at home, and per-capita income quintile in the southwest. Regional subgroup concentrations are compared to overall CONUS concentrations.</w:instrText>
      </w:r>
      <w:bookmarkEnd w:id="60"/>
      <w:r>
        <w:instrText xml:space="preserve">" \f B \l "1" </w:instrText>
      </w:r>
      <w:r>
        <w:rPr>
          <w:rFonts w:cs="Arial"/>
        </w:rPr>
        <w:fldChar w:fldCharType="end"/>
      </w:r>
    </w:p>
    <w:p w14:paraId="3763DC5D" w14:textId="77777777" w:rsidR="000067F8" w:rsidRPr="00161599" w:rsidRDefault="000067F8" w:rsidP="000067F8">
      <w:pPr>
        <w:rPr>
          <w:rFonts w:cs="Arial"/>
        </w:rPr>
      </w:pPr>
      <w:r w:rsidRPr="00161599">
        <w:rPr>
          <w:rFonts w:cs="Arial"/>
          <w:noProof/>
        </w:rPr>
        <w:lastRenderedPageBreak/>
        <w:drawing>
          <wp:inline distT="0" distB="0" distL="0" distR="0" wp14:anchorId="294D0CF4" wp14:editId="0BF6A4D7">
            <wp:extent cx="5943600" cy="4932680"/>
            <wp:effectExtent l="0" t="0" r="0" b="12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3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A04D2" w14:textId="3AFDB103" w:rsidR="008543AD" w:rsidRPr="00BC6294" w:rsidRDefault="000067F8" w:rsidP="00BC6294">
      <w:pPr>
        <w:spacing w:line="259" w:lineRule="auto"/>
        <w:rPr>
          <w:rFonts w:cs="Arial"/>
        </w:rPr>
      </w:pPr>
      <w:r w:rsidRPr="00161599">
        <w:rPr>
          <w:rFonts w:cs="Arial"/>
          <w:b/>
          <w:bCs/>
        </w:rPr>
        <w:t>Figure S1</w:t>
      </w:r>
      <w:r w:rsidR="00C3001C">
        <w:rPr>
          <w:rFonts w:cs="Arial"/>
          <w:b/>
          <w:bCs/>
        </w:rPr>
        <w:t>8</w:t>
      </w:r>
      <w:r w:rsidRPr="00161599">
        <w:rPr>
          <w:rFonts w:cs="Arial"/>
          <w:b/>
          <w:bCs/>
        </w:rPr>
        <w:t>.</w:t>
      </w:r>
      <w:r w:rsidRPr="00161599">
        <w:rPr>
          <w:rFonts w:cs="Arial"/>
        </w:rPr>
        <w:t xml:space="preserve"> Relative burden of wildland fire (CMAQ Fire) compared to Childs wildfire PM</w:t>
      </w:r>
      <w:r w:rsidRPr="00161599">
        <w:rPr>
          <w:rFonts w:cs="Arial"/>
          <w:vertAlign w:val="subscript"/>
        </w:rPr>
        <w:t>2.5</w:t>
      </w:r>
      <w:r>
        <w:rPr>
          <w:rFonts w:cs="Arial"/>
        </w:rPr>
        <w:fldChar w:fldCharType="begin"/>
      </w:r>
      <w:r>
        <w:rPr>
          <w:rFonts w:cs="Arial"/>
        </w:rPr>
        <w:instrText xml:space="preserve"> ADDIN EN.CITE &lt;EndNote&gt;&lt;Cite&gt;&lt;Author&gt;Childs&lt;/Author&gt;&lt;Year&gt;2022&lt;/Year&gt;&lt;RecNum&gt;16&lt;/RecNum&gt;&lt;DisplayText&gt;&lt;style face="superscript"&gt;33&lt;/style&gt;&lt;/DisplayText&gt;&lt;record&gt;&lt;rec-number&gt;16&lt;/rec-number&gt;&lt;foreign-keys&gt;&lt;key app="EN" db-id="290frdwv45faxberservzdsk5rv9at2wzpvt" timestamp="1712587830"&gt;16&lt;/key&gt;&lt;/foreign-keys&gt;&lt;ref-type name="Journal Article"&gt;17&lt;/ref-type&gt;&lt;contributors&gt;&lt;authors&gt;&lt;author&gt;Childs, Marissa L.&lt;/author&gt;&lt;author&gt;Li, Jessica&lt;/author&gt;&lt;author&gt;Wen, Jeffrey&lt;/author&gt;&lt;author&gt;Heft-Neal, Sam&lt;/author&gt;&lt;author&gt;Driscoll, Anne&lt;/author&gt;&lt;author&gt;Wang, Sherrie&lt;/author&gt;&lt;author&gt;Gould, Carlos F.&lt;/author&gt;&lt;author&gt;Qiu, Minghao&lt;/author&gt;&lt;author&gt;Burney, Jennifer&lt;/author&gt;&lt;author&gt;Burke, Marshall&lt;/author&gt;&lt;/authors&gt;&lt;/contributors&gt;&lt;titles&gt;&lt;title&gt;&lt;style face="normal" font="default" size="100%"&gt;Daily Local-Level Estimates of Ambient Wildfire Smoke PM &lt;/style&gt;&lt;style face="subscript" font="default" size="100%"&gt;2.5&lt;/style&gt;&lt;style face="normal" font="default" size="100%"&gt; for the Contiguous US&lt;/style&gt;&lt;/title&gt;&lt;secondary-title&gt;Environmental Science &amp;amp; Technology&lt;/secondary-title&gt;&lt;/titles&gt;&lt;periodical&gt;&lt;full-title&gt;Environmental Science &amp;amp; Technology&lt;/full-title&gt;&lt;/periodical&gt;&lt;pages&gt;13607-13621&lt;/pages&gt;&lt;volume&gt;56&lt;/volume&gt;&lt;number&gt;19&lt;/number&gt;&lt;dates&gt;&lt;year&gt;2022&lt;/year&gt;&lt;pub-dates&gt;&lt;date&gt;2022-10-04&lt;/date&gt;&lt;/pub-dates&gt;&lt;/dates&gt;&lt;isbn&gt;0013-936X, 1520-5851&lt;/isbn&gt;&lt;urls&gt;&lt;/urls&gt;&lt;electronic-resource-num&gt;10.1021/acs.est.2c02934&lt;/electronic-resource-num&gt;&lt;remote-database-name&gt;DOI.org (Crossref)&lt;/remote-database-name&gt;&lt;language&gt;en&lt;/language&gt;&lt;access-date&gt;2024-02-02 17:01:31&lt;/access-date&gt;&lt;/record&gt;&lt;/Cite&gt;&lt;/EndNote&gt;</w:instrText>
      </w:r>
      <w:r>
        <w:rPr>
          <w:rFonts w:cs="Arial"/>
        </w:rPr>
        <w:fldChar w:fldCharType="separate"/>
      </w:r>
      <w:r w:rsidRPr="003021E1">
        <w:rPr>
          <w:rFonts w:cs="Arial"/>
          <w:noProof/>
          <w:vertAlign w:val="superscript"/>
        </w:rPr>
        <w:t>33</w:t>
      </w:r>
      <w:r>
        <w:rPr>
          <w:rFonts w:cs="Arial"/>
        </w:rPr>
        <w:fldChar w:fldCharType="end"/>
      </w:r>
      <w:r w:rsidRPr="00161599">
        <w:rPr>
          <w:rFonts w:cs="Arial"/>
        </w:rPr>
        <w:t xml:space="preserve"> (Childs Fire) concentrations by Rural-Urban Commuting Area (RUCA) urbanicity classifications, race and ethnicity, language spoken at home, and per-capita income quintile.</w:t>
      </w:r>
      <w:r>
        <w:rPr>
          <w:rStyle w:val="FootnoteReference"/>
          <w:rFonts w:cs="Arial"/>
        </w:rPr>
        <w:footnoteReference w:id="1"/>
      </w:r>
      <w:r w:rsidRPr="00161599">
        <w:rPr>
          <w:rFonts w:cs="Arial"/>
        </w:rPr>
        <w:fldChar w:fldCharType="begin"/>
      </w:r>
      <w:r w:rsidRPr="00161599">
        <w:rPr>
          <w:rFonts w:cs="Arial"/>
        </w:rPr>
        <w:instrText xml:space="preserve"> TC "</w:instrText>
      </w:r>
      <w:bookmarkStart w:id="61" w:name="_Toc163632909"/>
      <w:bookmarkStart w:id="62" w:name="_Toc164241965"/>
      <w:bookmarkStart w:id="63" w:name="_Toc164247706"/>
      <w:bookmarkStart w:id="64" w:name="_Toc165977728"/>
      <w:r w:rsidRPr="00161599">
        <w:rPr>
          <w:rFonts w:cs="Arial"/>
          <w:b/>
          <w:bCs/>
        </w:rPr>
        <w:instrText>Figure S1</w:instrText>
      </w:r>
      <w:r w:rsidR="00061076">
        <w:rPr>
          <w:rFonts w:cs="Arial"/>
          <w:b/>
          <w:bCs/>
        </w:rPr>
        <w:instrText>8</w:instrText>
      </w:r>
      <w:r w:rsidRPr="00161599">
        <w:rPr>
          <w:rFonts w:cs="Arial"/>
          <w:b/>
          <w:bCs/>
        </w:rPr>
        <w:instrText>.</w:instrText>
      </w:r>
      <w:r w:rsidRPr="00161599">
        <w:rPr>
          <w:rFonts w:cs="Arial"/>
        </w:rPr>
        <w:instrText xml:space="preserve"> Relative burden of wildland fire (CMAQ Fire) compared to Childs wildfire PM</w:instrText>
      </w:r>
      <w:r w:rsidRPr="00161599">
        <w:rPr>
          <w:rFonts w:cs="Arial"/>
          <w:vertAlign w:val="subscript"/>
        </w:rPr>
        <w:instrText>2.5</w:instrText>
      </w:r>
      <w:r w:rsidRPr="00161599">
        <w:rPr>
          <w:rFonts w:cs="Arial"/>
          <w:noProof/>
          <w:vertAlign w:val="superscript"/>
        </w:rPr>
        <w:instrText>30</w:instrText>
      </w:r>
      <w:r w:rsidRPr="00161599">
        <w:rPr>
          <w:rFonts w:cs="Arial"/>
        </w:rPr>
        <w:instrText xml:space="preserve"> (Childs Fire) concentrations by Rural-Urban Commuting Area (RUCA) urbanicity classifications, race and ethnicity, language spoken at home, and per-capita income quintile.</w:instrText>
      </w:r>
      <w:bookmarkEnd w:id="61"/>
      <w:bookmarkEnd w:id="62"/>
      <w:bookmarkEnd w:id="63"/>
      <w:bookmarkEnd w:id="64"/>
      <w:r w:rsidRPr="00161599">
        <w:rPr>
          <w:rFonts w:cs="Arial"/>
        </w:rPr>
        <w:instrText xml:space="preserve">" \f B \l "1" </w:instrText>
      </w:r>
      <w:r w:rsidRPr="00161599">
        <w:rPr>
          <w:rFonts w:cs="Arial"/>
        </w:rPr>
        <w:fldChar w:fldCharType="end"/>
      </w:r>
    </w:p>
    <w:sectPr w:rsidR="008543AD" w:rsidRPr="00BC629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30" w:author="Rice, Byron" w:date="2024-05-09T15:17:00Z" w:initials="RB">
    <w:p w14:paraId="4FD55CDC" w14:textId="77777777" w:rsidR="00907422" w:rsidRDefault="00424080">
      <w:pPr>
        <w:pStyle w:val="CommentText"/>
      </w:pPr>
      <w:r>
        <w:rPr>
          <w:rStyle w:val="CommentReference"/>
        </w:rPr>
        <w:annotationRef/>
      </w:r>
      <w:r w:rsidR="00907422">
        <w:t>These categories should cover the whole population (I included all language groups provided by the Census) but sum to 92% of the total population field. I'm not sure how to resolve this</w:t>
      </w:r>
    </w:p>
    <w:p w14:paraId="47584973" w14:textId="77777777" w:rsidR="00907422" w:rsidRDefault="00907422">
      <w:pPr>
        <w:pStyle w:val="CommentText"/>
      </w:pPr>
    </w:p>
    <w:p w14:paraId="21069F57" w14:textId="77777777" w:rsidR="00907422" w:rsidRDefault="00907422">
      <w:pPr>
        <w:pStyle w:val="CommentText"/>
      </w:pPr>
      <w:r>
        <w:t>2 options:</w:t>
      </w:r>
    </w:p>
    <w:p w14:paraId="161B88ED" w14:textId="77777777" w:rsidR="00907422" w:rsidRDefault="00907422">
      <w:pPr>
        <w:pStyle w:val="CommentText"/>
      </w:pPr>
      <w:r>
        <w:t>1) set the denominator in calculations to the sum of language groups instead of total population</w:t>
      </w:r>
    </w:p>
    <w:p w14:paraId="3960A80B" w14:textId="77777777" w:rsidR="00907422" w:rsidRDefault="00907422">
      <w:pPr>
        <w:pStyle w:val="CommentText"/>
      </w:pPr>
      <w:r>
        <w:t>2) leave as is and consider noting in footnote/caption</w:t>
      </w:r>
    </w:p>
    <w:p w14:paraId="4C1B6D76" w14:textId="77777777" w:rsidR="00907422" w:rsidRDefault="00907422">
      <w:pPr>
        <w:pStyle w:val="CommentText"/>
      </w:pPr>
    </w:p>
    <w:p w14:paraId="44DC627D" w14:textId="77777777" w:rsidR="00907422" w:rsidRDefault="00907422" w:rsidP="00C2068D">
      <w:pPr>
        <w:pStyle w:val="CommentText"/>
      </w:pPr>
      <w:r>
        <w:t>Racial and ethnic groups cover 97.8% of the population but this is okay here because I didn't include all groups (other and Alaska Natives/Pacific Islanders are excluded, as well as those who selected multiple racial groups)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4DC627D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9E7678E" w16cex:dateUtc="2024-05-09T19:1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4DC627D" w16cid:durableId="29E7678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DCA243" w14:textId="77777777" w:rsidR="001A4DB0" w:rsidRDefault="001A4DB0" w:rsidP="000067F8">
      <w:pPr>
        <w:spacing w:after="0" w:line="240" w:lineRule="auto"/>
      </w:pPr>
      <w:r>
        <w:separator/>
      </w:r>
    </w:p>
  </w:endnote>
  <w:endnote w:type="continuationSeparator" w:id="0">
    <w:p w14:paraId="62B7F25A" w14:textId="77777777" w:rsidR="001A4DB0" w:rsidRDefault="001A4DB0" w:rsidP="000067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3ADC70" w14:textId="77777777" w:rsidR="001A4DB0" w:rsidRDefault="001A4DB0" w:rsidP="000067F8">
      <w:pPr>
        <w:spacing w:after="0" w:line="240" w:lineRule="auto"/>
      </w:pPr>
      <w:r>
        <w:separator/>
      </w:r>
    </w:p>
  </w:footnote>
  <w:footnote w:type="continuationSeparator" w:id="0">
    <w:p w14:paraId="3E409D7C" w14:textId="77777777" w:rsidR="001A4DB0" w:rsidRDefault="001A4DB0" w:rsidP="000067F8">
      <w:pPr>
        <w:spacing w:after="0" w:line="240" w:lineRule="auto"/>
      </w:pPr>
      <w:r>
        <w:continuationSeparator/>
      </w:r>
    </w:p>
  </w:footnote>
  <w:footnote w:id="1">
    <w:p w14:paraId="101E886D" w14:textId="77777777" w:rsidR="000067F8" w:rsidRPr="00D22BA9" w:rsidRDefault="000067F8" w:rsidP="000067F8">
      <w:pPr>
        <w:spacing w:line="240" w:lineRule="auto"/>
        <w:rPr>
          <w:rFonts w:cs="Arial"/>
        </w:rPr>
      </w:pPr>
      <w:r>
        <w:rPr>
          <w:rStyle w:val="FootnoteReference"/>
        </w:rPr>
        <w:footnoteRef/>
      </w:r>
      <w:r>
        <w:t xml:space="preserve"> </w:t>
      </w:r>
      <w:r w:rsidRPr="00161599">
        <w:rPr>
          <w:rFonts w:cs="Arial"/>
        </w:rPr>
        <w:t>Per-capita income quintiles: quintile 1: $150-$17,261, quintile 2: $17,261-$21,837, quintile 3: $21,837-$26,687, quintile 4: $26,687-$34,707, and quintile 5: $34,707-$293,610. RUCA categories: urban core (RUCA code 1), suburban (RUCA code 2), micropolitan (RUCA codes 3, 4, 5, and 6), small town (RUCA codes 7, 8, and 9), and rural (RUCA code 10).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131F6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num w:numId="1" w16cid:durableId="2120445846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Rice, Byron">
    <w15:presenceInfo w15:providerId="AD" w15:userId="S::Rice.Byron@epa.gov::6f229afb-506b-4e5b-ada9-543ceb443c5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5394"/>
    <w:rsid w:val="000067F8"/>
    <w:rsid w:val="00055524"/>
    <w:rsid w:val="00061076"/>
    <w:rsid w:val="000B2D8F"/>
    <w:rsid w:val="000C0707"/>
    <w:rsid w:val="001A4DB0"/>
    <w:rsid w:val="00275394"/>
    <w:rsid w:val="003078C8"/>
    <w:rsid w:val="00383257"/>
    <w:rsid w:val="00424080"/>
    <w:rsid w:val="00543772"/>
    <w:rsid w:val="00565C2B"/>
    <w:rsid w:val="00632D07"/>
    <w:rsid w:val="007068F2"/>
    <w:rsid w:val="0077482B"/>
    <w:rsid w:val="007E1CF9"/>
    <w:rsid w:val="008543AD"/>
    <w:rsid w:val="00874547"/>
    <w:rsid w:val="008D77D2"/>
    <w:rsid w:val="008F3643"/>
    <w:rsid w:val="00902F36"/>
    <w:rsid w:val="00907422"/>
    <w:rsid w:val="00A97EFD"/>
    <w:rsid w:val="00AB4858"/>
    <w:rsid w:val="00B87EA9"/>
    <w:rsid w:val="00BA503A"/>
    <w:rsid w:val="00BC1C0F"/>
    <w:rsid w:val="00BC6294"/>
    <w:rsid w:val="00BE5D47"/>
    <w:rsid w:val="00C25825"/>
    <w:rsid w:val="00C3001C"/>
    <w:rsid w:val="00D01787"/>
    <w:rsid w:val="00DC33AC"/>
    <w:rsid w:val="00FB0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449F3D"/>
  <w15:chartTrackingRefBased/>
  <w15:docId w15:val="{94940AA7-B9AA-4324-95CC-1CDA2CAB6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3257"/>
    <w:pPr>
      <w:spacing w:line="480" w:lineRule="auto"/>
    </w:pPr>
    <w:rPr>
      <w:rFonts w:ascii="Arial" w:hAnsi="Arial"/>
      <w:kern w:val="0"/>
      <w:sz w:val="2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067F8"/>
    <w:pPr>
      <w:keepNext/>
      <w:keepLines/>
      <w:numPr>
        <w:numId w:val="1"/>
      </w:numPr>
      <w:spacing w:before="240" w:after="0"/>
      <w:outlineLvl w:val="0"/>
    </w:pPr>
    <w:rPr>
      <w:rFonts w:eastAsiaTheme="majorEastAsia" w:cstheme="majorBidi"/>
      <w:b/>
      <w:color w:val="000000" w:themeColor="text1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067F8"/>
    <w:pPr>
      <w:keepNext/>
      <w:keepLines/>
      <w:numPr>
        <w:ilvl w:val="1"/>
        <w:numId w:val="1"/>
      </w:numPr>
      <w:spacing w:before="40" w:after="0"/>
      <w:outlineLvl w:val="1"/>
    </w:pPr>
    <w:rPr>
      <w:rFonts w:eastAsiaTheme="majorEastAsia" w:cstheme="majorBidi"/>
      <w:b/>
      <w:color w:val="000000" w:themeColor="text1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067F8"/>
    <w:pPr>
      <w:keepNext/>
      <w:keepLines/>
      <w:numPr>
        <w:ilvl w:val="2"/>
        <w:numId w:val="1"/>
      </w:numPr>
      <w:spacing w:before="40" w:after="0"/>
      <w:outlineLvl w:val="2"/>
    </w:pPr>
    <w:rPr>
      <w:rFonts w:eastAsiaTheme="majorEastAsia" w:cstheme="majorBidi"/>
      <w:b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067F8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67F8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067F8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067F8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067F8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067F8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067F8"/>
    <w:rPr>
      <w:rFonts w:ascii="Arial" w:eastAsiaTheme="majorEastAsia" w:hAnsi="Arial" w:cstheme="majorBidi"/>
      <w:b/>
      <w:color w:val="000000" w:themeColor="text1"/>
      <w:kern w:val="0"/>
      <w:sz w:val="20"/>
      <w:szCs w:val="32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rsid w:val="000067F8"/>
    <w:rPr>
      <w:rFonts w:ascii="Arial" w:eastAsiaTheme="majorEastAsia" w:hAnsi="Arial" w:cstheme="majorBidi"/>
      <w:b/>
      <w:color w:val="000000" w:themeColor="text1"/>
      <w:kern w:val="0"/>
      <w:sz w:val="20"/>
      <w:szCs w:val="26"/>
      <w14:ligatures w14:val="none"/>
    </w:rPr>
  </w:style>
  <w:style w:type="character" w:customStyle="1" w:styleId="Heading3Char">
    <w:name w:val="Heading 3 Char"/>
    <w:basedOn w:val="DefaultParagraphFont"/>
    <w:link w:val="Heading3"/>
    <w:uiPriority w:val="9"/>
    <w:rsid w:val="000067F8"/>
    <w:rPr>
      <w:rFonts w:ascii="Arial" w:eastAsiaTheme="majorEastAsia" w:hAnsi="Arial" w:cstheme="majorBidi"/>
      <w:b/>
      <w:color w:val="000000" w:themeColor="text1"/>
      <w:kern w:val="0"/>
      <w:sz w:val="20"/>
      <w:szCs w:val="24"/>
      <w14:ligatures w14:val="non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067F8"/>
    <w:rPr>
      <w:rFonts w:asciiTheme="majorHAnsi" w:eastAsiaTheme="majorEastAsia" w:hAnsiTheme="majorHAnsi" w:cstheme="majorBidi"/>
      <w:i/>
      <w:iCs/>
      <w:color w:val="2F5496" w:themeColor="accent1" w:themeShade="BF"/>
      <w:kern w:val="0"/>
      <w:sz w:val="20"/>
      <w14:ligatures w14:val="non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67F8"/>
    <w:rPr>
      <w:rFonts w:asciiTheme="majorHAnsi" w:eastAsiaTheme="majorEastAsia" w:hAnsiTheme="majorHAnsi" w:cstheme="majorBidi"/>
      <w:color w:val="2F5496" w:themeColor="accent1" w:themeShade="BF"/>
      <w:kern w:val="0"/>
      <w:sz w:val="20"/>
      <w14:ligatures w14:val="non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067F8"/>
    <w:rPr>
      <w:rFonts w:asciiTheme="majorHAnsi" w:eastAsiaTheme="majorEastAsia" w:hAnsiTheme="majorHAnsi" w:cstheme="majorBidi"/>
      <w:color w:val="1F3763" w:themeColor="accent1" w:themeShade="7F"/>
      <w:kern w:val="0"/>
      <w:sz w:val="20"/>
      <w14:ligatures w14:val="none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067F8"/>
    <w:rPr>
      <w:rFonts w:asciiTheme="majorHAnsi" w:eastAsiaTheme="majorEastAsia" w:hAnsiTheme="majorHAnsi" w:cstheme="majorBidi"/>
      <w:i/>
      <w:iCs/>
      <w:color w:val="1F3763" w:themeColor="accent1" w:themeShade="7F"/>
      <w:kern w:val="0"/>
      <w:sz w:val="20"/>
      <w14:ligatures w14:val="non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067F8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14:ligatures w14:val="non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067F8"/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14:ligatures w14:val="none"/>
    </w:rPr>
  </w:style>
  <w:style w:type="paragraph" w:styleId="Caption">
    <w:name w:val="caption"/>
    <w:basedOn w:val="Normal"/>
    <w:next w:val="Normal"/>
    <w:uiPriority w:val="35"/>
    <w:unhideWhenUsed/>
    <w:qFormat/>
    <w:rsid w:val="000067F8"/>
    <w:pPr>
      <w:spacing w:after="200" w:line="240" w:lineRule="auto"/>
    </w:pPr>
    <w:rPr>
      <w:iCs/>
      <w:color w:val="000000" w:themeColor="text1"/>
      <w:szCs w:val="18"/>
    </w:rPr>
  </w:style>
  <w:style w:type="table" w:styleId="PlainTable1">
    <w:name w:val="Plain Table 1"/>
    <w:basedOn w:val="TableNormal"/>
    <w:uiPriority w:val="41"/>
    <w:rsid w:val="000067F8"/>
    <w:pPr>
      <w:spacing w:after="0" w:line="240" w:lineRule="auto"/>
    </w:pPr>
    <w:rPr>
      <w:kern w:val="0"/>
      <w14:ligatures w14:val="none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BodyText">
    <w:name w:val="Body Text"/>
    <w:basedOn w:val="Normal"/>
    <w:link w:val="BodyTextChar"/>
    <w:uiPriority w:val="99"/>
    <w:unhideWhenUsed/>
    <w:rsid w:val="000067F8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067F8"/>
    <w:rPr>
      <w:rFonts w:ascii="Arial" w:hAnsi="Arial"/>
      <w:kern w:val="0"/>
      <w:sz w:val="20"/>
      <w14:ligatures w14:val="none"/>
    </w:rPr>
  </w:style>
  <w:style w:type="paragraph" w:customStyle="1" w:styleId="FirstParagraph">
    <w:name w:val="First Paragraph"/>
    <w:basedOn w:val="BodyText"/>
    <w:next w:val="BodyText"/>
    <w:qFormat/>
    <w:rsid w:val="000067F8"/>
    <w:pPr>
      <w:spacing w:before="180" w:after="180" w:line="240" w:lineRule="auto"/>
    </w:pPr>
    <w:rPr>
      <w:sz w:val="24"/>
      <w:szCs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0067F8"/>
    <w:rPr>
      <w:vertAlign w:val="superscript"/>
    </w:rPr>
  </w:style>
  <w:style w:type="paragraph" w:styleId="TableofFigures">
    <w:name w:val="table of figures"/>
    <w:basedOn w:val="Normal"/>
    <w:next w:val="Normal"/>
    <w:uiPriority w:val="99"/>
    <w:unhideWhenUsed/>
    <w:rsid w:val="00055524"/>
    <w:pPr>
      <w:spacing w:after="0"/>
    </w:pPr>
  </w:style>
  <w:style w:type="character" w:styleId="Hyperlink">
    <w:name w:val="Hyperlink"/>
    <w:basedOn w:val="DefaultParagraphFont"/>
    <w:uiPriority w:val="99"/>
    <w:unhideWhenUsed/>
    <w:rsid w:val="00D01787"/>
    <w:rPr>
      <w:color w:val="0563C1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54377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43772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4240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24080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24080"/>
    <w:rPr>
      <w:rFonts w:ascii="Arial" w:hAnsi="Arial"/>
      <w:kern w:val="0"/>
      <w:sz w:val="20"/>
      <w:szCs w:val="2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40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4080"/>
    <w:rPr>
      <w:rFonts w:ascii="Arial" w:hAnsi="Arial"/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18/08/relationships/commentsExtensible" Target="commentsExtensible.xml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microsoft.com/office/2016/09/relationships/commentsIds" Target="commentsIds.xml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11/relationships/commentsExtended" Target="commentsExtended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comments" Target="comments.xm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AF29BF-3556-49E9-A761-75D7DC7D17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26</Pages>
  <Words>4217</Words>
  <Characters>24038</Characters>
  <Application>Microsoft Office Word</Application>
  <DocSecurity>0</DocSecurity>
  <Lines>200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Rice, Byron</dc:creator>
  <cp:keywords/>
  <dc:description/>
  <cp:lastModifiedBy>Rice, Byron</cp:lastModifiedBy>
  <cp:revision>27</cp:revision>
  <dcterms:created xsi:type="dcterms:W3CDTF">2024-05-07T11:56:00Z</dcterms:created>
  <dcterms:modified xsi:type="dcterms:W3CDTF">2024-05-09T19:21:00Z</dcterms:modified>
</cp:coreProperties>
</file>